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napToGrid w:val="0"/>
          <w:spacing w:val="-6"/>
          <w:sz w:val="44"/>
          <w:szCs w:val="44"/>
        </w:rPr>
      </w:pPr>
      <w:r>
        <w:rPr>
          <w:rFonts w:hint="eastAsia" w:ascii="方正小标宋简体" w:hAnsi="方正小标宋简体" w:eastAsia="方正小标宋简体" w:cs="方正小标宋简体"/>
          <w:snapToGrid w:val="0"/>
          <w:spacing w:val="-6"/>
          <w:sz w:val="44"/>
          <w:szCs w:val="44"/>
          <w:lang w:eastAsia="zh-CN"/>
        </w:rPr>
        <w:t>阿合奇县公安局</w:t>
      </w:r>
      <w:r>
        <w:rPr>
          <w:rFonts w:hint="eastAsia" w:ascii="方正小标宋简体" w:hAnsi="方正小标宋简体" w:eastAsia="方正小标宋简体" w:cs="方正小标宋简体"/>
          <w:snapToGrid w:val="0"/>
          <w:spacing w:val="-6"/>
          <w:sz w:val="44"/>
          <w:szCs w:val="44"/>
        </w:rPr>
        <w:t>2021年政府信息公开工作</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napToGrid w:val="0"/>
          <w:spacing w:val="-6"/>
          <w:sz w:val="44"/>
          <w:szCs w:val="44"/>
        </w:rPr>
      </w:pPr>
      <w:r>
        <w:rPr>
          <w:rFonts w:hint="eastAsia" w:ascii="方正小标宋简体" w:hAnsi="方正小标宋简体" w:eastAsia="方正小标宋简体" w:cs="方正小标宋简体"/>
          <w:snapToGrid w:val="0"/>
          <w:spacing w:val="-6"/>
          <w:sz w:val="44"/>
          <w:szCs w:val="44"/>
        </w:rPr>
        <w:t>年度报告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napToGrid w:val="0"/>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rPr>
          <w:rFonts w:hint="eastAsia" w:ascii="黑体" w:hAnsi="黑体" w:eastAsia="黑体" w:cs="黑体"/>
          <w:snapToGrid w:val="0"/>
          <w:spacing w:val="-6"/>
          <w:sz w:val="32"/>
          <w:szCs w:val="32"/>
        </w:rPr>
      </w:pPr>
      <w:r>
        <w:rPr>
          <w:rFonts w:hint="eastAsia" w:ascii="黑体" w:hAnsi="黑体" w:eastAsia="黑体" w:cs="黑体"/>
          <w:snapToGrid w:val="0"/>
          <w:spacing w:val="-6"/>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县政府相关规定及公安机关部署要求，为进一步深化阿合奇县公安局政务信息公开工作，提高公安机关行政工作透明度、强化对公安机关权力制约和监督，增强公安民警为民服务意识，改进服务态度，提高服务质量，密切警民关系，提高人民群众对公安机关的信任感和满意度，2021年以来，我局围绕创新发展战略，坚持服务中心，服务大局，服务民生，服务发展，顺应“互联网+政务服务”发展趋势，把网络政务信息公开纳入公安工作和队伍建设的总体部署，同时也列入公安工作绩效考评范围，通过及时公开法律法规、办事指南、办理证照和治安案件受理情况等项目，确保执法、办案、办事公开、公平、公正。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ascii="楷体" w:hAnsi="楷体" w:eastAsia="楷体" w:cs="楷体"/>
          <w:sz w:val="32"/>
          <w:szCs w:val="32"/>
          <w:lang w:val="en-US" w:eastAsia="zh-CN"/>
        </w:rPr>
        <w:t>(一)加强组织领导，明确职责分工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强化组织领导。确保网络政务信息公开工作实现常态化运作，成立了由阿合奇县公安局“一把手”任组长，分管局领导为副组长，各部门负责人为成员的领导小组，领导小组办公室设在局政工室，组织协调实施政务公开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健全各项规章制度。制定了《阿合奇县公安局党务政务公开制度》《阿合奇县公安局权力清单和责任清单》等制度，保障了政务公开工作有章可循。</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规范政务公开流程。对各项目录内容明确了公开形式、范围、时限、责任单位和协办单位，以“全面公开为原则，不公开为例外”，全面公开有关事项。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（二）扎实开展政务信息公开工作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动公开政府信息情况，全面公开县公安局权责清单、行政权力运行清单、规范性文件立改废等重大事项的工作进展、落实等情况、主动接受社会监督。进一步细化公开目录和内容，将县公安局行政职权和责任、审批过程与结果。执法检查和问题等公众普遍关注信息，依法依规及时通过政府网站予以主动公开，2021年通过各媒体发表政务信息57条。阿合奇县公安局公开关联治安、户籍、外事、禁毒、交警等相关领域信息共计44项，其中行政许可23项，行政确认21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2.依申请公开情况，2021年度，我局未收到县政府转办、交办的群众依申请公开相关事项，也</w:t>
      </w:r>
      <w:r>
        <w:rPr>
          <w:rFonts w:hint="eastAsia" w:ascii="仿宋_GB2312" w:hAnsi="仿宋_GB2312" w:eastAsia="仿宋_GB2312" w:cs="仿宋_GB2312"/>
          <w:b w:val="0"/>
          <w:bCs w:val="0"/>
          <w:kern w:val="2"/>
          <w:sz w:val="32"/>
          <w:szCs w:val="32"/>
          <w:lang w:val="en-US" w:eastAsia="zh-CN" w:bidi="ar-SA"/>
        </w:rPr>
        <w:t>没有因政务信息公开申请行政复议、提起行政诉讼的情况。</w:t>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2"/>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政府信息管理，阿合奇县公安局为进一步加强政务公开管理，规范信息采集、审核、发布等工作流程，安排专人收集治安、户籍、外事、禁毒、交警等各部门政务公开信息，严格执行“分级审核、先审后发”程序，落实“三审三校”制，建立健全责任追究制度，未经审核的信息一律不准发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平台建设，阿合奇县公安局充分运用新媒体，先后建立了微信公众号、抖音、快手、微博等官方账号，进一步加强了政务信息公开平台建设工作。依托阿合奇县政府网站公开网页</w:t>
      </w:r>
      <w:r>
        <w:rPr>
          <w:rFonts w:hint="eastAsia" w:ascii="仿宋_GB2312" w:hAnsi="仿宋_GB2312" w:eastAsia="仿宋_GB2312" w:cs="仿宋_GB2312"/>
          <w:sz w:val="32"/>
          <w:szCs w:val="32"/>
          <w:lang w:val="en-US" w:eastAsia="zh-CN"/>
        </w:rPr>
        <w:t>定期维护政府网页县公安局工作动态，机构及职能信息，及时调整单位领导人事信息、内设及下属机构职责，单位政策法规等信息。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监督保障，常态化做好政务公开量化考评迎检工作。组织各责任部门集中研究学习上级领导部门考核排名通报等工作机制和考核细则，常态化做好考核迎检工作，对认识不到位、措施不落实，工作不主动等因素影响政务公开工作成效，对未按照县局具体安排公开相应事项造成群众办事不便。投诉控告或上级领导部门通报批评的，县公安局将依规依纪处理。</w:t>
      </w:r>
    </w:p>
    <w:p>
      <w:pPr>
        <w:spacing w:line="560" w:lineRule="exact"/>
        <w:ind w:firstLine="640" w:firstLineChars="200"/>
        <w:jc w:val="left"/>
        <w:rPr>
          <w:rFonts w:hint="eastAsia" w:ascii="黑体" w:hAnsi="黑体" w:eastAsia="黑体" w:cs="宋体"/>
          <w:sz w:val="32"/>
          <w:szCs w:val="32"/>
        </w:rPr>
      </w:pPr>
      <w:r>
        <w:rPr>
          <w:rFonts w:hint="eastAsia" w:ascii="黑体" w:hAnsi="黑体" w:eastAsia="黑体" w:cs="宋体"/>
          <w:sz w:val="32"/>
          <w:szCs w:val="32"/>
        </w:rPr>
        <w:t>二、主动公开政府信息情况</w:t>
      </w:r>
    </w:p>
    <w:tbl>
      <w:tblPr>
        <w:tblStyle w:val="7"/>
        <w:tblW w:w="87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2185"/>
        <w:gridCol w:w="1724"/>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770" w:type="dxa"/>
            <w:gridSpan w:val="4"/>
            <w:vAlign w:val="top"/>
          </w:tcPr>
          <w:p>
            <w:pPr>
              <w:widowControl/>
              <w:spacing w:after="144" w:line="300" w:lineRule="exact"/>
              <w:jc w:val="center"/>
              <w:rPr>
                <w:sz w:val="24"/>
              </w:rPr>
            </w:pPr>
            <w:r>
              <w:rPr>
                <w:rFonts w:hint="eastAsia" w:ascii="宋体" w:hAnsi="宋体" w:cs="宋体"/>
                <w:kern w:val="0"/>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708" w:type="dxa"/>
            <w:vAlign w:val="top"/>
          </w:tcPr>
          <w:p>
            <w:pPr>
              <w:widowControl/>
              <w:spacing w:after="144" w:line="300" w:lineRule="exact"/>
              <w:jc w:val="center"/>
              <w:rPr>
                <w:sz w:val="24"/>
              </w:rPr>
            </w:pPr>
            <w:r>
              <w:rPr>
                <w:rFonts w:hint="eastAsia" w:ascii="宋体" w:hAnsi="宋体" w:cs="宋体"/>
                <w:kern w:val="0"/>
                <w:sz w:val="24"/>
                <w:lang w:bidi="ar"/>
              </w:rPr>
              <w:t>信息内容</w:t>
            </w:r>
          </w:p>
        </w:tc>
        <w:tc>
          <w:tcPr>
            <w:tcW w:w="2185" w:type="dxa"/>
            <w:vAlign w:val="top"/>
          </w:tcPr>
          <w:p>
            <w:pPr>
              <w:widowControl/>
              <w:spacing w:after="144" w:line="300" w:lineRule="exact"/>
              <w:jc w:val="center"/>
              <w:rPr>
                <w:rFonts w:hint="eastAsia"/>
                <w:sz w:val="24"/>
              </w:rPr>
            </w:pPr>
            <w:r>
              <w:rPr>
                <w:rFonts w:hint="eastAsia" w:ascii="宋体" w:hAnsi="宋体" w:cs="宋体"/>
                <w:kern w:val="0"/>
                <w:sz w:val="24"/>
                <w:lang w:bidi="ar"/>
              </w:rPr>
              <w:t>本年</w:t>
            </w:r>
            <w:r>
              <w:rPr>
                <w:kern w:val="0"/>
                <w:sz w:val="24"/>
                <w:lang w:bidi="ar"/>
              </w:rPr>
              <w:t>制</w:t>
            </w:r>
            <w:r>
              <w:rPr>
                <w:rFonts w:hint="eastAsia"/>
                <w:kern w:val="0"/>
                <w:sz w:val="24"/>
                <w:lang w:bidi="ar"/>
              </w:rPr>
              <w:t>发件数</w:t>
            </w:r>
          </w:p>
        </w:tc>
        <w:tc>
          <w:tcPr>
            <w:tcW w:w="1724" w:type="dxa"/>
            <w:vAlign w:val="top"/>
          </w:tcPr>
          <w:p>
            <w:pPr>
              <w:widowControl/>
              <w:spacing w:after="144" w:line="300" w:lineRule="exact"/>
              <w:jc w:val="center"/>
              <w:rPr>
                <w:rFonts w:hint="eastAsia"/>
                <w:sz w:val="24"/>
              </w:rPr>
            </w:pPr>
            <w:r>
              <w:rPr>
                <w:rFonts w:hint="eastAsia" w:ascii="宋体" w:hAnsi="宋体" w:cs="宋体"/>
                <w:kern w:val="0"/>
                <w:sz w:val="24"/>
                <w:lang w:bidi="ar"/>
              </w:rPr>
              <w:t>本年废止件数</w:t>
            </w:r>
          </w:p>
        </w:tc>
        <w:tc>
          <w:tcPr>
            <w:tcW w:w="2153" w:type="dxa"/>
            <w:vAlign w:val="top"/>
          </w:tcPr>
          <w:p>
            <w:pPr>
              <w:widowControl/>
              <w:spacing w:after="144" w:line="300" w:lineRule="exact"/>
              <w:jc w:val="center"/>
              <w:rPr>
                <w:rFonts w:hint="eastAsia"/>
                <w:sz w:val="24"/>
              </w:rPr>
            </w:pPr>
            <w:r>
              <w:rPr>
                <w:rFonts w:hint="eastAsia"/>
                <w:sz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708" w:type="dxa"/>
            <w:vAlign w:val="top"/>
          </w:tcPr>
          <w:p>
            <w:pPr>
              <w:widowControl/>
              <w:spacing w:after="144" w:line="300" w:lineRule="exact"/>
              <w:jc w:val="center"/>
              <w:rPr>
                <w:sz w:val="24"/>
              </w:rPr>
            </w:pPr>
            <w:r>
              <w:rPr>
                <w:rFonts w:hint="eastAsia" w:ascii="宋体" w:hAnsi="宋体" w:cs="宋体"/>
                <w:kern w:val="0"/>
                <w:sz w:val="24"/>
                <w:lang w:bidi="ar"/>
              </w:rPr>
              <w:t>规章</w:t>
            </w:r>
          </w:p>
        </w:tc>
        <w:tc>
          <w:tcPr>
            <w:tcW w:w="2185" w:type="dxa"/>
            <w:vAlign w:val="top"/>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724" w:type="dxa"/>
            <w:vAlign w:val="top"/>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2153" w:type="dxa"/>
            <w:vAlign w:val="top"/>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2708" w:type="dxa"/>
            <w:vAlign w:val="top"/>
          </w:tcPr>
          <w:p>
            <w:pPr>
              <w:widowControl/>
              <w:spacing w:after="144" w:line="300" w:lineRule="exact"/>
              <w:jc w:val="center"/>
              <w:rPr>
                <w:sz w:val="24"/>
              </w:rPr>
            </w:pPr>
            <w:r>
              <w:rPr>
                <w:rFonts w:hint="eastAsia" w:ascii="宋体" w:hAnsi="宋体" w:cs="宋体"/>
                <w:kern w:val="0"/>
                <w:sz w:val="24"/>
                <w:lang w:bidi="ar"/>
              </w:rPr>
              <w:t>规范性文件</w:t>
            </w:r>
          </w:p>
        </w:tc>
        <w:tc>
          <w:tcPr>
            <w:tcW w:w="2185" w:type="dxa"/>
            <w:vAlign w:val="top"/>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724" w:type="dxa"/>
            <w:vAlign w:val="top"/>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2153" w:type="dxa"/>
            <w:vAlign w:val="top"/>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770" w:type="dxa"/>
            <w:gridSpan w:val="4"/>
            <w:vAlign w:val="top"/>
          </w:tcPr>
          <w:p>
            <w:pPr>
              <w:widowControl/>
              <w:spacing w:after="144" w:line="300" w:lineRule="exact"/>
              <w:jc w:val="center"/>
              <w:rPr>
                <w:sz w:val="24"/>
              </w:rPr>
            </w:pPr>
            <w:r>
              <w:rPr>
                <w:rFonts w:hint="eastAsia" w:ascii="宋体" w:hAnsi="宋体" w:cs="宋体"/>
                <w:kern w:val="0"/>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jc w:val="center"/>
        </w:trPr>
        <w:tc>
          <w:tcPr>
            <w:tcW w:w="2708" w:type="dxa"/>
            <w:vAlign w:val="top"/>
          </w:tcPr>
          <w:p>
            <w:pPr>
              <w:widowControl/>
              <w:spacing w:after="144" w:line="300" w:lineRule="exact"/>
              <w:jc w:val="center"/>
              <w:rPr>
                <w:sz w:val="24"/>
              </w:rPr>
            </w:pPr>
            <w:r>
              <w:rPr>
                <w:rFonts w:hint="eastAsia" w:ascii="宋体" w:hAnsi="宋体" w:cs="宋体"/>
                <w:kern w:val="0"/>
                <w:sz w:val="24"/>
                <w:lang w:bidi="ar"/>
              </w:rPr>
              <w:t>信息内容</w:t>
            </w:r>
          </w:p>
        </w:tc>
        <w:tc>
          <w:tcPr>
            <w:tcW w:w="6062" w:type="dxa"/>
            <w:gridSpan w:val="3"/>
            <w:vAlign w:val="top"/>
          </w:tcPr>
          <w:p>
            <w:pPr>
              <w:widowControl/>
              <w:spacing w:after="144" w:line="300" w:lineRule="exact"/>
              <w:ind w:firstLine="480" w:firstLineChars="200"/>
              <w:jc w:val="center"/>
              <w:rPr>
                <w:rFonts w:hint="eastAsia"/>
                <w:sz w:val="24"/>
              </w:rPr>
            </w:pPr>
            <w:r>
              <w:rPr>
                <w:rFonts w:hint="eastAsia"/>
                <w:sz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2708" w:type="dxa"/>
            <w:vAlign w:val="top"/>
          </w:tcPr>
          <w:p>
            <w:pPr>
              <w:widowControl/>
              <w:spacing w:after="144" w:line="300" w:lineRule="exact"/>
              <w:jc w:val="center"/>
              <w:rPr>
                <w:sz w:val="24"/>
              </w:rPr>
            </w:pPr>
            <w:r>
              <w:rPr>
                <w:rFonts w:hint="eastAsia" w:ascii="宋体" w:hAnsi="宋体" w:cs="宋体"/>
                <w:kern w:val="0"/>
                <w:sz w:val="24"/>
                <w:lang w:bidi="ar"/>
              </w:rPr>
              <w:t>行政许可</w:t>
            </w:r>
          </w:p>
        </w:tc>
        <w:tc>
          <w:tcPr>
            <w:tcW w:w="6062" w:type="dxa"/>
            <w:gridSpan w:val="3"/>
            <w:vAlign w:val="top"/>
          </w:tcPr>
          <w:p>
            <w:pPr>
              <w:widowControl/>
              <w:spacing w:after="144" w:line="300" w:lineRule="exact"/>
              <w:jc w:val="center"/>
              <w:rPr>
                <w:rFonts w:hint="eastAsia"/>
                <w:lang w:val="en-US" w:eastAsia="zh-CN"/>
              </w:rPr>
            </w:pPr>
            <w:r>
              <w:rPr>
                <w:rFonts w:hint="eastAsia"/>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770" w:type="dxa"/>
            <w:gridSpan w:val="4"/>
            <w:vAlign w:val="top"/>
          </w:tcPr>
          <w:p>
            <w:pPr>
              <w:widowControl/>
              <w:spacing w:after="144" w:line="300" w:lineRule="exact"/>
              <w:jc w:val="center"/>
              <w:rPr>
                <w:sz w:val="24"/>
              </w:rPr>
            </w:pPr>
            <w:r>
              <w:rPr>
                <w:rFonts w:hint="eastAsia" w:ascii="宋体" w:hAnsi="宋体" w:cs="宋体"/>
                <w:kern w:val="0"/>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2708" w:type="dxa"/>
            <w:vAlign w:val="top"/>
          </w:tcPr>
          <w:p>
            <w:pPr>
              <w:widowControl/>
              <w:spacing w:after="144" w:line="300" w:lineRule="exact"/>
              <w:jc w:val="center"/>
              <w:rPr>
                <w:sz w:val="24"/>
              </w:rPr>
            </w:pPr>
            <w:r>
              <w:rPr>
                <w:rFonts w:hint="eastAsia" w:ascii="宋体" w:hAnsi="宋体" w:cs="宋体"/>
                <w:kern w:val="0"/>
                <w:sz w:val="24"/>
                <w:lang w:bidi="ar"/>
              </w:rPr>
              <w:t>信息内容</w:t>
            </w:r>
          </w:p>
        </w:tc>
        <w:tc>
          <w:tcPr>
            <w:tcW w:w="6062" w:type="dxa"/>
            <w:gridSpan w:val="3"/>
            <w:vAlign w:val="top"/>
          </w:tcPr>
          <w:p>
            <w:pPr>
              <w:widowControl/>
              <w:spacing w:after="144" w:line="300" w:lineRule="exact"/>
              <w:jc w:val="center"/>
              <w:rPr>
                <w:sz w:val="24"/>
              </w:rPr>
            </w:pPr>
            <w:r>
              <w:rPr>
                <w:rFonts w:hint="eastAsia"/>
                <w:sz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708" w:type="dxa"/>
            <w:vAlign w:val="top"/>
          </w:tcPr>
          <w:p>
            <w:pPr>
              <w:widowControl/>
              <w:spacing w:after="144" w:line="300" w:lineRule="exact"/>
              <w:jc w:val="center"/>
              <w:rPr>
                <w:sz w:val="24"/>
              </w:rPr>
            </w:pPr>
            <w:r>
              <w:rPr>
                <w:rFonts w:hint="eastAsia" w:ascii="宋体" w:hAnsi="宋体" w:cs="宋体"/>
                <w:kern w:val="0"/>
                <w:sz w:val="24"/>
                <w:lang w:bidi="ar"/>
              </w:rPr>
              <w:t>行政处罚</w:t>
            </w:r>
          </w:p>
        </w:tc>
        <w:tc>
          <w:tcPr>
            <w:tcW w:w="6062" w:type="dxa"/>
            <w:gridSpan w:val="3"/>
            <w:vAlign w:val="top"/>
          </w:tcPr>
          <w:p>
            <w:pPr>
              <w:widowControl/>
              <w:spacing w:after="144" w:line="300" w:lineRule="exact"/>
              <w:jc w:val="center"/>
              <w:rPr>
                <w:rFonts w:hint="eastAsia"/>
                <w:lang w:val="en-US" w:eastAsia="zh-CN"/>
              </w:rPr>
            </w:pPr>
            <w:r>
              <w:rPr>
                <w:rFonts w:hint="eastAsia"/>
                <w:lang w:val="en-US" w:eastAsia="zh-CN"/>
              </w:rPr>
              <w:t>16619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2708" w:type="dxa"/>
            <w:vAlign w:val="top"/>
          </w:tcPr>
          <w:p>
            <w:pPr>
              <w:widowControl/>
              <w:spacing w:after="144" w:line="300" w:lineRule="exact"/>
              <w:jc w:val="center"/>
              <w:rPr>
                <w:sz w:val="24"/>
              </w:rPr>
            </w:pPr>
            <w:r>
              <w:rPr>
                <w:rFonts w:hint="eastAsia" w:ascii="宋体" w:hAnsi="宋体" w:cs="宋体"/>
                <w:kern w:val="0"/>
                <w:sz w:val="24"/>
                <w:lang w:bidi="ar"/>
              </w:rPr>
              <w:t>行政强制</w:t>
            </w:r>
          </w:p>
        </w:tc>
        <w:tc>
          <w:tcPr>
            <w:tcW w:w="6062" w:type="dxa"/>
            <w:gridSpan w:val="3"/>
            <w:vAlign w:val="top"/>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770" w:type="dxa"/>
            <w:gridSpan w:val="4"/>
            <w:vAlign w:val="top"/>
          </w:tcPr>
          <w:p>
            <w:pPr>
              <w:widowControl/>
              <w:spacing w:after="144" w:line="300" w:lineRule="exact"/>
              <w:jc w:val="center"/>
              <w:rPr>
                <w:sz w:val="24"/>
              </w:rPr>
            </w:pPr>
            <w:r>
              <w:rPr>
                <w:rFonts w:hint="eastAsia" w:ascii="宋体" w:hAnsi="宋体" w:cs="宋体"/>
                <w:kern w:val="0"/>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2708" w:type="dxa"/>
            <w:vAlign w:val="top"/>
          </w:tcPr>
          <w:p>
            <w:pPr>
              <w:widowControl/>
              <w:spacing w:after="144" w:line="300" w:lineRule="exact"/>
              <w:jc w:val="center"/>
              <w:rPr>
                <w:sz w:val="24"/>
              </w:rPr>
            </w:pPr>
            <w:r>
              <w:rPr>
                <w:rFonts w:hint="eastAsia" w:ascii="宋体" w:hAnsi="宋体" w:cs="宋体"/>
                <w:kern w:val="0"/>
                <w:sz w:val="24"/>
                <w:lang w:bidi="ar"/>
              </w:rPr>
              <w:t>信息内容</w:t>
            </w:r>
          </w:p>
        </w:tc>
        <w:tc>
          <w:tcPr>
            <w:tcW w:w="6062" w:type="dxa"/>
            <w:gridSpan w:val="3"/>
            <w:vAlign w:val="top"/>
          </w:tcPr>
          <w:p>
            <w:pPr>
              <w:widowControl/>
              <w:spacing w:after="144" w:line="300" w:lineRule="exact"/>
              <w:jc w:val="center"/>
              <w:rPr>
                <w:sz w:val="24"/>
              </w:rPr>
            </w:pPr>
            <w:r>
              <w:rPr>
                <w:rFonts w:hint="eastAsia"/>
                <w:sz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2708" w:type="dxa"/>
            <w:vAlign w:val="top"/>
          </w:tcPr>
          <w:p>
            <w:pPr>
              <w:widowControl/>
              <w:spacing w:after="144" w:line="300" w:lineRule="exact"/>
              <w:jc w:val="center"/>
              <w:rPr>
                <w:sz w:val="24"/>
              </w:rPr>
            </w:pPr>
            <w:r>
              <w:rPr>
                <w:rFonts w:hint="eastAsia" w:ascii="宋体" w:hAnsi="宋体" w:cs="宋体"/>
                <w:kern w:val="0"/>
                <w:sz w:val="24"/>
                <w:lang w:bidi="ar"/>
              </w:rPr>
              <w:t>行政事业性收费</w:t>
            </w:r>
          </w:p>
        </w:tc>
        <w:tc>
          <w:tcPr>
            <w:tcW w:w="6062" w:type="dxa"/>
            <w:gridSpan w:val="3"/>
            <w:vAlign w:val="top"/>
          </w:tcPr>
          <w:p>
            <w:pPr>
              <w:widowControl/>
              <w:spacing w:after="144" w:line="300" w:lineRule="exact"/>
              <w:jc w:val="center"/>
              <w:rPr>
                <w:rFonts w:hint="eastAsia" w:eastAsia="宋体"/>
                <w:sz w:val="24"/>
                <w:lang w:val="en-US" w:eastAsia="zh-CN"/>
              </w:rPr>
            </w:pPr>
            <w:r>
              <w:rPr>
                <w:rFonts w:hint="eastAsia"/>
                <w:sz w:val="24"/>
                <w:lang w:val="en-US" w:eastAsia="zh-CN"/>
              </w:rPr>
              <w:t>160.436477</w:t>
            </w:r>
          </w:p>
        </w:tc>
      </w:tr>
    </w:tbl>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宋体"/>
          <w:sz w:val="32"/>
          <w:szCs w:val="30"/>
        </w:rPr>
      </w:pPr>
      <w:r>
        <w:rPr>
          <w:rFonts w:hint="eastAsia" w:ascii="黑体" w:hAnsi="黑体" w:eastAsia="黑体" w:cs="宋体"/>
          <w:sz w:val="32"/>
          <w:szCs w:val="30"/>
          <w:lang w:eastAsia="zh-CN"/>
        </w:rPr>
        <w:t>三、</w:t>
      </w:r>
      <w:r>
        <w:rPr>
          <w:rFonts w:hint="eastAsia" w:ascii="黑体" w:hAnsi="黑体" w:eastAsia="黑体" w:cs="宋体"/>
          <w:sz w:val="32"/>
          <w:szCs w:val="30"/>
        </w:rPr>
        <w:t>收到和处理政府信息公开申请情况</w:t>
      </w:r>
    </w:p>
    <w:tbl>
      <w:tblPr>
        <w:tblStyle w:val="7"/>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936"/>
        <w:gridCol w:w="3377"/>
        <w:gridCol w:w="456"/>
        <w:gridCol w:w="707"/>
        <w:gridCol w:w="707"/>
        <w:gridCol w:w="706"/>
        <w:gridCol w:w="707"/>
        <w:gridCol w:w="465"/>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 w:hRule="atLeast"/>
          <w:jc w:val="center"/>
        </w:trPr>
        <w:tc>
          <w:tcPr>
            <w:tcW w:w="5010" w:type="dxa"/>
            <w:gridSpan w:val="3"/>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（本列数据的勾稽关系为：第一项加第二项之和，等于第三项加第四项之和）</w:t>
            </w:r>
          </w:p>
        </w:tc>
        <w:tc>
          <w:tcPr>
            <w:tcW w:w="4204" w:type="dxa"/>
            <w:gridSpan w:val="7"/>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vMerge w:val="continue"/>
            <w:tcMar>
              <w:left w:w="108" w:type="dxa"/>
              <w:right w:w="108" w:type="dxa"/>
            </w:tcMar>
            <w:vAlign w:val="center"/>
          </w:tcPr>
          <w:p>
            <w:pPr>
              <w:spacing w:line="260" w:lineRule="exact"/>
              <w:rPr>
                <w:rFonts w:hint="eastAsia" w:ascii="宋体"/>
                <w:sz w:val="24"/>
              </w:rPr>
            </w:pPr>
          </w:p>
        </w:tc>
        <w:tc>
          <w:tcPr>
            <w:tcW w:w="456"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自然人</w:t>
            </w:r>
          </w:p>
        </w:tc>
        <w:tc>
          <w:tcPr>
            <w:tcW w:w="3292" w:type="dxa"/>
            <w:gridSpan w:val="5"/>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法人或其他组织</w:t>
            </w:r>
          </w:p>
        </w:tc>
        <w:tc>
          <w:tcPr>
            <w:tcW w:w="456"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9" w:hRule="atLeast"/>
          <w:jc w:val="center"/>
        </w:trPr>
        <w:tc>
          <w:tcPr>
            <w:tcW w:w="5010" w:type="dxa"/>
            <w:gridSpan w:val="3"/>
            <w:vMerge w:val="continue"/>
            <w:tcMar>
              <w:left w:w="108" w:type="dxa"/>
              <w:right w:w="108" w:type="dxa"/>
            </w:tcMar>
            <w:vAlign w:val="center"/>
          </w:tcPr>
          <w:p>
            <w:pPr>
              <w:spacing w:line="260" w:lineRule="exact"/>
              <w:rPr>
                <w:rFonts w:hint="eastAsia" w:ascii="宋体"/>
                <w:sz w:val="24"/>
              </w:rPr>
            </w:pPr>
          </w:p>
        </w:tc>
        <w:tc>
          <w:tcPr>
            <w:tcW w:w="456" w:type="dxa"/>
            <w:vMerge w:val="continue"/>
            <w:tcMar>
              <w:left w:w="108" w:type="dxa"/>
              <w:right w:w="108" w:type="dxa"/>
            </w:tcMar>
            <w:vAlign w:val="center"/>
          </w:tcPr>
          <w:p>
            <w:pPr>
              <w:spacing w:line="260" w:lineRule="exact"/>
              <w:rPr>
                <w:rFonts w:hint="eastAsia" w:ascii="宋体"/>
                <w:sz w:val="24"/>
              </w:rPr>
            </w:pP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商业企业</w:t>
            </w: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科研机构</w:t>
            </w:r>
          </w:p>
        </w:tc>
        <w:tc>
          <w:tcPr>
            <w:tcW w:w="706"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社会公益组织</w:t>
            </w: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法律服务机构</w:t>
            </w:r>
          </w:p>
        </w:tc>
        <w:tc>
          <w:tcPr>
            <w:tcW w:w="465"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其他</w:t>
            </w:r>
          </w:p>
        </w:tc>
        <w:tc>
          <w:tcPr>
            <w:tcW w:w="456" w:type="dxa"/>
            <w:vMerge w:val="continue"/>
            <w:tcMar>
              <w:left w:w="108" w:type="dxa"/>
              <w:right w:w="108" w:type="dxa"/>
            </w:tcMar>
            <w:vAlign w:val="center"/>
          </w:tcPr>
          <w:p>
            <w:pPr>
              <w:spacing w:line="260" w:lineRule="exac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2" w:hRule="atLeast"/>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lang w:bidi="ar"/>
              </w:rPr>
              <w:t>一、本年新收政府信息公开申请数量</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lang w:bidi="ar"/>
              </w:rPr>
              <w:t>二、上年结转政府信息公开申请数量</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 w:hRule="atLeast"/>
          <w:jc w:val="center"/>
        </w:trPr>
        <w:tc>
          <w:tcPr>
            <w:tcW w:w="697"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lang w:bidi="ar"/>
              </w:rPr>
              <w:t>三、本年度办理结果</w:t>
            </w:r>
          </w:p>
        </w:tc>
        <w:tc>
          <w:tcPr>
            <w:tcW w:w="4313" w:type="dxa"/>
            <w:gridSpan w:val="2"/>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（一）予以公开</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4313" w:type="dxa"/>
            <w:gridSpan w:val="2"/>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（二）部分公开（区分处理的，只计这一情形，不计其他情形）</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restart"/>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（三）不予公开</w:t>
            </w: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1.属于国家秘密</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2.其他法律行政法规禁止公开</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3.危及“三安全一稳定”</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4.保护第三方合法权益</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5.属于三类内部事务信息</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6.属于四类过程性信息</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7.属于行政执法案卷</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 w:hRule="atLeast"/>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8.属于行政查询事项</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7" w:hRule="atLeast"/>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restart"/>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（四）无法提供</w:t>
            </w: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1.本机关不掌握相关政府信息</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2.没有现成信息需要另行制作</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3.补正后申请内容仍不明确</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restart"/>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（五）不予处理</w:t>
            </w: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1.信访举报投诉类申请</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2.重复申请</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3.要求提供公开出版物</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Mar>
              <w:left w:w="108" w:type="dxa"/>
              <w:right w:w="108" w:type="dxa"/>
            </w:tcMar>
            <w:vAlign w:val="center"/>
          </w:tcPr>
          <w:p>
            <w:pPr>
              <w:spacing w:line="260" w:lineRule="exact"/>
              <w:rPr>
                <w:rFonts w:hint="eastAsia" w:ascii="宋体"/>
                <w:sz w:val="24"/>
              </w:rPr>
            </w:pPr>
          </w:p>
        </w:tc>
        <w:tc>
          <w:tcPr>
            <w:tcW w:w="3377" w:type="dxa"/>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4.无正当理由大量反复申请</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936" w:type="dxa"/>
            <w:vMerge w:val="continue"/>
            <w:tcBorders>
              <w:bottom w:val="single" w:color="auto" w:sz="4" w:space="0"/>
            </w:tcBorders>
            <w:tcMar>
              <w:left w:w="108" w:type="dxa"/>
              <w:right w:w="108" w:type="dxa"/>
            </w:tcMar>
            <w:vAlign w:val="center"/>
          </w:tcPr>
          <w:p>
            <w:pPr>
              <w:spacing w:line="260" w:lineRule="exact"/>
              <w:rPr>
                <w:rFonts w:hint="eastAsia" w:ascii="宋体"/>
                <w:sz w:val="24"/>
              </w:rPr>
            </w:pPr>
          </w:p>
        </w:tc>
        <w:tc>
          <w:tcPr>
            <w:tcW w:w="3377" w:type="dxa"/>
            <w:tcBorders>
              <w:bottom w:val="single" w:color="auto" w:sz="4" w:space="0"/>
            </w:tcBorders>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5.要求行政机关确认或重新出具已获取信息</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Borders>
              <w:right w:val="single" w:color="auto" w:sz="4" w:space="0"/>
            </w:tcBorders>
            <w:tcMar>
              <w:left w:w="108" w:type="dxa"/>
              <w:right w:w="108" w:type="dxa"/>
            </w:tcMar>
            <w:vAlign w:val="center"/>
          </w:tcPr>
          <w:p>
            <w:pPr>
              <w:spacing w:line="260" w:lineRule="exact"/>
              <w:rPr>
                <w:rFonts w:hint="eastAsia" w:ascii="宋体"/>
                <w:sz w:val="24"/>
              </w:rPr>
            </w:pPr>
          </w:p>
        </w:tc>
        <w:tc>
          <w:tcPr>
            <w:tcW w:w="936" w:type="dxa"/>
            <w:vMerge w:val="restart"/>
            <w:tcBorders>
              <w:top w:val="single" w:color="auto" w:sz="4" w:space="0"/>
              <w:left w:val="single" w:color="auto" w:sz="4" w:space="0"/>
              <w:right w:val="single" w:color="auto" w:sz="4" w:space="0"/>
            </w:tcBorders>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（六）其他处理</w:t>
            </w:r>
          </w:p>
        </w:tc>
        <w:tc>
          <w:tcPr>
            <w:tcW w:w="3377" w:type="dxa"/>
            <w:tcBorders>
              <w:top w:val="single" w:color="auto" w:sz="4" w:space="0"/>
              <w:left w:val="single" w:color="auto" w:sz="4" w:space="0"/>
              <w:right w:val="single" w:color="auto" w:sz="4" w:space="0"/>
            </w:tcBorders>
            <w:tcMar>
              <w:left w:w="108" w:type="dxa"/>
              <w:right w:w="108" w:type="dxa"/>
            </w:tcMar>
            <w:vAlign w:val="center"/>
          </w:tcPr>
          <w:p>
            <w:pPr>
              <w:widowControl/>
              <w:spacing w:after="144" w:line="260" w:lineRule="exact"/>
              <w:jc w:val="left"/>
              <w:rPr>
                <w:rFonts w:ascii="楷体" w:hAnsi="楷体" w:eastAsia="楷体" w:cs="楷体"/>
                <w:kern w:val="0"/>
                <w:sz w:val="24"/>
                <w:lang w:bidi="ar"/>
              </w:rPr>
            </w:pPr>
            <w:r>
              <w:rPr>
                <w:rFonts w:hint="eastAsia" w:ascii="楷体" w:hAnsi="楷体" w:eastAsia="楷体" w:cs="楷体"/>
                <w:kern w:val="0"/>
                <w:sz w:val="24"/>
                <w:lang w:bidi="ar"/>
              </w:rPr>
              <w:t>1.申请人无正当理由逾期不补正、行政机关不再处理其政府信息公开申请</w:t>
            </w:r>
          </w:p>
        </w:tc>
        <w:tc>
          <w:tcPr>
            <w:tcW w:w="456" w:type="dxa"/>
            <w:tcBorders>
              <w:left w:val="single" w:color="auto" w:sz="4" w:space="0"/>
            </w:tcBorders>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Borders>
              <w:right w:val="single" w:color="auto" w:sz="4" w:space="0"/>
            </w:tcBorders>
            <w:tcMar>
              <w:left w:w="108" w:type="dxa"/>
              <w:right w:w="108" w:type="dxa"/>
            </w:tcMar>
            <w:vAlign w:val="center"/>
          </w:tcPr>
          <w:p>
            <w:pPr>
              <w:spacing w:line="260" w:lineRule="exact"/>
              <w:rPr>
                <w:rFonts w:hint="eastAsia" w:ascii="宋体"/>
                <w:sz w:val="24"/>
              </w:rPr>
            </w:pPr>
          </w:p>
        </w:tc>
        <w:tc>
          <w:tcPr>
            <w:tcW w:w="936" w:type="dxa"/>
            <w:vMerge w:val="continue"/>
            <w:tcBorders>
              <w:left w:val="single" w:color="auto" w:sz="4" w:space="0"/>
              <w:right w:val="single" w:color="auto" w:sz="4" w:space="0"/>
            </w:tcBorders>
            <w:tcMar>
              <w:left w:w="108" w:type="dxa"/>
              <w:right w:w="108" w:type="dxa"/>
            </w:tcMar>
            <w:vAlign w:val="center"/>
          </w:tcPr>
          <w:p>
            <w:pPr>
              <w:widowControl/>
              <w:spacing w:after="144" w:line="260" w:lineRule="exact"/>
              <w:jc w:val="left"/>
              <w:rPr>
                <w:rFonts w:hint="eastAsia" w:ascii="楷体" w:hAnsi="楷体" w:eastAsia="楷体" w:cs="楷体"/>
                <w:kern w:val="0"/>
                <w:sz w:val="24"/>
                <w:lang w:bidi="ar"/>
              </w:rPr>
            </w:pPr>
          </w:p>
        </w:tc>
        <w:tc>
          <w:tcPr>
            <w:tcW w:w="3377" w:type="dxa"/>
            <w:tcBorders>
              <w:left w:val="single" w:color="auto" w:sz="4" w:space="0"/>
              <w:right w:val="single" w:color="auto" w:sz="4" w:space="0"/>
            </w:tcBorders>
            <w:tcMar>
              <w:left w:w="108" w:type="dxa"/>
              <w:right w:w="108" w:type="dxa"/>
            </w:tcMar>
            <w:vAlign w:val="center"/>
          </w:tcPr>
          <w:p>
            <w:pPr>
              <w:widowControl/>
              <w:spacing w:after="144" w:line="260" w:lineRule="exact"/>
              <w:jc w:val="left"/>
              <w:rPr>
                <w:rFonts w:ascii="楷体" w:hAnsi="楷体" w:eastAsia="楷体" w:cs="楷体"/>
                <w:kern w:val="0"/>
                <w:sz w:val="24"/>
                <w:lang w:bidi="ar"/>
              </w:rPr>
            </w:pPr>
            <w:r>
              <w:rPr>
                <w:rFonts w:hint="eastAsia" w:ascii="楷体" w:hAnsi="楷体" w:eastAsia="楷体" w:cs="楷体"/>
                <w:kern w:val="0"/>
                <w:sz w:val="24"/>
                <w:lang w:bidi="ar"/>
              </w:rPr>
              <w:t>2.申请人逾期未按收费通知要求缴纳费用、行政机关不再处理其政府信息公开申请</w:t>
            </w:r>
          </w:p>
        </w:tc>
        <w:tc>
          <w:tcPr>
            <w:tcW w:w="456" w:type="dxa"/>
            <w:tcBorders>
              <w:left w:val="single" w:color="auto" w:sz="4" w:space="0"/>
            </w:tcBorders>
            <w:tcMar>
              <w:left w:w="108" w:type="dxa"/>
              <w:right w:w="108" w:type="dxa"/>
            </w:tcMar>
            <w:vAlign w:val="center"/>
          </w:tcPr>
          <w:p>
            <w:pPr>
              <w:widowControl/>
              <w:spacing w:after="144" w:line="260" w:lineRule="exact"/>
              <w:jc w:val="center"/>
              <w:rPr>
                <w:rFonts w:cs="Calibri"/>
                <w:kern w:val="0"/>
                <w:sz w:val="24"/>
                <w:lang w:bidi="ar"/>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cs="Calibri"/>
                <w:kern w:val="0"/>
                <w:sz w:val="24"/>
                <w:lang w:bidi="ar"/>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cs="Calibri"/>
                <w:kern w:val="0"/>
                <w:sz w:val="24"/>
                <w:lang w:bidi="ar"/>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rFonts w:cs="Calibri"/>
                <w:kern w:val="0"/>
                <w:sz w:val="24"/>
                <w:lang w:bidi="ar"/>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rFonts w:cs="Calibri"/>
                <w:kern w:val="0"/>
                <w:sz w:val="24"/>
                <w:lang w:bidi="ar"/>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rFonts w:cs="Calibri"/>
                <w:kern w:val="0"/>
                <w:sz w:val="24"/>
                <w:lang w:bidi="ar"/>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rFonts w:cs="Calibri"/>
                <w:kern w:val="0"/>
                <w:sz w:val="24"/>
                <w:lang w:bidi="ar"/>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Borders>
              <w:right w:val="single" w:color="auto" w:sz="4" w:space="0"/>
            </w:tcBorders>
            <w:tcMar>
              <w:left w:w="108" w:type="dxa"/>
              <w:right w:w="108" w:type="dxa"/>
            </w:tcMar>
            <w:vAlign w:val="center"/>
          </w:tcPr>
          <w:p>
            <w:pPr>
              <w:spacing w:line="260" w:lineRule="exact"/>
              <w:rPr>
                <w:rFonts w:hint="eastAsia" w:ascii="宋体"/>
                <w:sz w:val="24"/>
              </w:rPr>
            </w:pPr>
          </w:p>
        </w:tc>
        <w:tc>
          <w:tcPr>
            <w:tcW w:w="936" w:type="dxa"/>
            <w:vMerge w:val="continue"/>
            <w:tcBorders>
              <w:left w:val="single" w:color="auto" w:sz="4" w:space="0"/>
              <w:bottom w:val="single" w:color="auto" w:sz="4" w:space="0"/>
              <w:right w:val="single" w:color="auto" w:sz="4" w:space="0"/>
            </w:tcBorders>
            <w:tcMar>
              <w:left w:w="108" w:type="dxa"/>
              <w:right w:w="108" w:type="dxa"/>
            </w:tcMar>
            <w:vAlign w:val="center"/>
          </w:tcPr>
          <w:p>
            <w:pPr>
              <w:widowControl/>
              <w:spacing w:after="144" w:line="260" w:lineRule="exact"/>
              <w:jc w:val="left"/>
              <w:rPr>
                <w:rFonts w:hint="eastAsia" w:ascii="楷体" w:hAnsi="楷体" w:eastAsia="楷体" w:cs="楷体"/>
                <w:kern w:val="0"/>
                <w:sz w:val="24"/>
                <w:lang w:bidi="ar"/>
              </w:rPr>
            </w:pPr>
          </w:p>
        </w:tc>
        <w:tc>
          <w:tcPr>
            <w:tcW w:w="3377" w:type="dxa"/>
            <w:tcBorders>
              <w:left w:val="single" w:color="auto" w:sz="4" w:space="0"/>
              <w:bottom w:val="single" w:color="auto" w:sz="4" w:space="0"/>
              <w:right w:val="single" w:color="auto" w:sz="4" w:space="0"/>
            </w:tcBorders>
            <w:tcMar>
              <w:left w:w="108" w:type="dxa"/>
              <w:right w:w="108" w:type="dxa"/>
            </w:tcMar>
            <w:vAlign w:val="center"/>
          </w:tcPr>
          <w:p>
            <w:pPr>
              <w:widowControl/>
              <w:spacing w:after="144" w:line="260" w:lineRule="exact"/>
              <w:jc w:val="left"/>
              <w:rPr>
                <w:rFonts w:ascii="楷体" w:hAnsi="楷体" w:eastAsia="楷体" w:cs="楷体"/>
                <w:kern w:val="0"/>
                <w:sz w:val="24"/>
                <w:lang w:bidi="ar"/>
              </w:rPr>
            </w:pPr>
            <w:r>
              <w:rPr>
                <w:rFonts w:hint="eastAsia" w:ascii="楷体" w:hAnsi="楷体" w:eastAsia="楷体" w:cs="楷体"/>
                <w:kern w:val="0"/>
                <w:sz w:val="24"/>
                <w:lang w:bidi="ar"/>
              </w:rPr>
              <w:t>3.其他</w:t>
            </w:r>
          </w:p>
        </w:tc>
        <w:tc>
          <w:tcPr>
            <w:tcW w:w="456" w:type="dxa"/>
            <w:tcBorders>
              <w:left w:val="single" w:color="auto" w:sz="4" w:space="0"/>
            </w:tcBorders>
            <w:tcMar>
              <w:left w:w="108" w:type="dxa"/>
              <w:right w:w="108" w:type="dxa"/>
            </w:tcMar>
            <w:vAlign w:val="center"/>
          </w:tcPr>
          <w:p>
            <w:pPr>
              <w:widowControl/>
              <w:spacing w:after="144" w:line="260" w:lineRule="exact"/>
              <w:jc w:val="center"/>
              <w:rPr>
                <w:rFonts w:cs="Calibri"/>
                <w:kern w:val="0"/>
                <w:sz w:val="24"/>
                <w:lang w:bidi="ar"/>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cs="Calibri"/>
                <w:kern w:val="0"/>
                <w:sz w:val="24"/>
                <w:lang w:bidi="ar"/>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rFonts w:cs="Calibri"/>
                <w:kern w:val="0"/>
                <w:sz w:val="24"/>
                <w:lang w:bidi="ar"/>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rFonts w:cs="Calibri"/>
                <w:kern w:val="0"/>
                <w:sz w:val="24"/>
                <w:lang w:bidi="ar"/>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rFonts w:cs="Calibri"/>
                <w:kern w:val="0"/>
                <w:sz w:val="24"/>
                <w:lang w:bidi="ar"/>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rFonts w:cs="Calibri"/>
                <w:kern w:val="0"/>
                <w:sz w:val="24"/>
                <w:lang w:bidi="ar"/>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rFonts w:cs="Calibri"/>
                <w:kern w:val="0"/>
                <w:sz w:val="24"/>
                <w:lang w:bidi="ar"/>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 w:hRule="atLeast"/>
          <w:jc w:val="center"/>
        </w:trPr>
        <w:tc>
          <w:tcPr>
            <w:tcW w:w="697" w:type="dxa"/>
            <w:vMerge w:val="continue"/>
            <w:tcMar>
              <w:left w:w="108" w:type="dxa"/>
              <w:right w:w="108" w:type="dxa"/>
            </w:tcMar>
            <w:vAlign w:val="center"/>
          </w:tcPr>
          <w:p>
            <w:pPr>
              <w:spacing w:line="260" w:lineRule="exact"/>
              <w:rPr>
                <w:rFonts w:hint="eastAsia" w:ascii="宋体"/>
                <w:sz w:val="24"/>
              </w:rPr>
            </w:pPr>
          </w:p>
        </w:tc>
        <w:tc>
          <w:tcPr>
            <w:tcW w:w="4313" w:type="dxa"/>
            <w:gridSpan w:val="2"/>
            <w:tcBorders>
              <w:top w:val="single" w:color="auto" w:sz="4" w:space="0"/>
            </w:tcBorders>
            <w:tcMar>
              <w:left w:w="108" w:type="dxa"/>
              <w:right w:w="108" w:type="dxa"/>
            </w:tcMar>
            <w:vAlign w:val="center"/>
          </w:tcPr>
          <w:p>
            <w:pPr>
              <w:widowControl/>
              <w:spacing w:after="144" w:line="260" w:lineRule="exact"/>
              <w:jc w:val="left"/>
              <w:rPr>
                <w:sz w:val="24"/>
              </w:rPr>
            </w:pPr>
            <w:r>
              <w:rPr>
                <w:rFonts w:hint="eastAsia" w:ascii="楷体" w:hAnsi="楷体" w:eastAsia="楷体" w:cs="楷体"/>
                <w:kern w:val="0"/>
                <w:sz w:val="24"/>
                <w:lang w:bidi="ar"/>
              </w:rPr>
              <w:t>（七）总计</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hint="eastAsia" w:cs="Calibri"/>
                <w:kern w:val="0"/>
                <w:sz w:val="24"/>
                <w:lang w:val="en-US" w:eastAsia="zh-CN" w:bidi="ar"/>
              </w:rPr>
              <w:t>0</w:t>
            </w:r>
            <w:r>
              <w:rPr>
                <w:rFonts w:cs="Calibri"/>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lang w:bidi="ar"/>
              </w:rPr>
              <w:t>四、结转下年度继续办理</w:t>
            </w:r>
          </w:p>
        </w:tc>
        <w:tc>
          <w:tcPr>
            <w:tcW w:w="456"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sz w:val="24"/>
                <w:lang w:val="en-US" w:eastAsia="zh-CN"/>
              </w:rPr>
              <w:t>0</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707"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65"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bidi="ar"/>
              </w:rPr>
              <w:t>0</w:t>
            </w:r>
            <w:r>
              <w:rPr>
                <w:rFonts w:cs="Calibri"/>
                <w:kern w:val="0"/>
                <w:sz w:val="24"/>
                <w:lang w:bidi="ar"/>
              </w:rPr>
              <w:t> </w:t>
            </w:r>
          </w:p>
        </w:tc>
        <w:tc>
          <w:tcPr>
            <w:tcW w:w="456" w:type="dxa"/>
            <w:tcMar>
              <w:left w:w="108" w:type="dxa"/>
              <w:right w:w="108" w:type="dxa"/>
            </w:tcMar>
            <w:vAlign w:val="center"/>
          </w:tcPr>
          <w:p>
            <w:pPr>
              <w:widowControl/>
              <w:spacing w:after="144" w:line="260" w:lineRule="exact"/>
              <w:jc w:val="center"/>
              <w:rPr>
                <w:rFonts w:hint="eastAsia" w:ascii="宋体"/>
                <w:sz w:val="24"/>
              </w:rPr>
            </w:pPr>
            <w:r>
              <w:rPr>
                <w:rFonts w:hint="eastAsia" w:cs="Calibri"/>
                <w:kern w:val="0"/>
                <w:sz w:val="24"/>
                <w:lang w:val="en-US" w:eastAsia="zh-CN" w:bidi="ar"/>
              </w:rPr>
              <w:t>0</w:t>
            </w:r>
            <w:r>
              <w:rPr>
                <w:rFonts w:cs="Calibri"/>
                <w:kern w:val="0"/>
                <w:sz w:val="24"/>
                <w:lang w:bidi="ar"/>
              </w:rPr>
              <w:t> </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宋体"/>
          <w:sz w:val="32"/>
          <w:szCs w:val="32"/>
        </w:rPr>
      </w:pPr>
      <w:r>
        <w:rPr>
          <w:rFonts w:hint="eastAsia" w:ascii="黑体" w:hAnsi="黑体" w:eastAsia="黑体" w:cs="宋体"/>
          <w:sz w:val="32"/>
          <w:szCs w:val="32"/>
        </w:rPr>
        <w:t>四、政府信息公开行政复议、行政诉讼情况</w:t>
      </w:r>
    </w:p>
    <w:tbl>
      <w:tblPr>
        <w:tblStyle w:val="7"/>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851"/>
        <w:gridCol w:w="836"/>
        <w:gridCol w:w="706"/>
        <w:gridCol w:w="456"/>
        <w:gridCol w:w="706"/>
        <w:gridCol w:w="706"/>
        <w:gridCol w:w="711"/>
        <w:gridCol w:w="789"/>
        <w:gridCol w:w="456"/>
        <w:gridCol w:w="456"/>
        <w:gridCol w:w="527"/>
        <w:gridCol w:w="456"/>
        <w:gridCol w:w="469"/>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695" w:type="dxa"/>
            <w:gridSpan w:val="5"/>
            <w:tcMar>
              <w:left w:w="108" w:type="dxa"/>
              <w:right w:w="108" w:type="dxa"/>
            </w:tcMar>
            <w:vAlign w:val="center"/>
          </w:tcPr>
          <w:p>
            <w:pPr>
              <w:widowControl/>
              <w:spacing w:after="144" w:line="260" w:lineRule="exact"/>
              <w:jc w:val="center"/>
              <w:rPr>
                <w:rFonts w:ascii="宋体" w:hAnsi="宋体" w:cs="宋体"/>
                <w:kern w:val="0"/>
                <w:sz w:val="24"/>
                <w:lang w:bidi="ar"/>
              </w:rPr>
            </w:pPr>
            <w:r>
              <w:rPr>
                <w:rFonts w:hint="eastAsia" w:ascii="宋体" w:hAnsi="宋体" w:cs="宋体"/>
                <w:kern w:val="0"/>
                <w:sz w:val="24"/>
                <w:lang w:bidi="ar"/>
              </w:rPr>
              <w:t>行政复议</w:t>
            </w:r>
          </w:p>
        </w:tc>
        <w:tc>
          <w:tcPr>
            <w:tcW w:w="5732" w:type="dxa"/>
            <w:gridSpan w:val="10"/>
            <w:tcMar>
              <w:left w:w="108" w:type="dxa"/>
              <w:right w:w="108" w:type="dxa"/>
            </w:tcMar>
            <w:vAlign w:val="center"/>
          </w:tcPr>
          <w:p>
            <w:pPr>
              <w:widowControl/>
              <w:spacing w:after="144" w:line="260" w:lineRule="exact"/>
              <w:jc w:val="center"/>
              <w:rPr>
                <w:rFonts w:ascii="宋体" w:hAnsi="宋体" w:cs="宋体"/>
                <w:kern w:val="0"/>
                <w:sz w:val="24"/>
                <w:lang w:bidi="ar"/>
              </w:rPr>
            </w:pPr>
            <w:r>
              <w:rPr>
                <w:rFonts w:hint="eastAsia" w:ascii="宋体" w:hAnsi="宋体" w:cs="宋体"/>
                <w:kern w:val="0"/>
                <w:sz w:val="24"/>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vMerge w:val="restart"/>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结果维持</w:t>
            </w:r>
          </w:p>
        </w:tc>
        <w:tc>
          <w:tcPr>
            <w:tcW w:w="851" w:type="dxa"/>
            <w:vMerge w:val="restart"/>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结果纠正</w:t>
            </w:r>
          </w:p>
        </w:tc>
        <w:tc>
          <w:tcPr>
            <w:tcW w:w="836" w:type="dxa"/>
            <w:vMerge w:val="restart"/>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其他结果</w:t>
            </w:r>
          </w:p>
        </w:tc>
        <w:tc>
          <w:tcPr>
            <w:tcW w:w="706" w:type="dxa"/>
            <w:vMerge w:val="restart"/>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尚未审结</w:t>
            </w:r>
          </w:p>
        </w:tc>
        <w:tc>
          <w:tcPr>
            <w:tcW w:w="456" w:type="dxa"/>
            <w:vMerge w:val="restart"/>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总计</w:t>
            </w:r>
          </w:p>
        </w:tc>
        <w:tc>
          <w:tcPr>
            <w:tcW w:w="3368" w:type="dxa"/>
            <w:gridSpan w:val="5"/>
            <w:tcMar>
              <w:left w:w="108" w:type="dxa"/>
              <w:right w:w="108" w:type="dxa"/>
            </w:tcMar>
            <w:vAlign w:val="center"/>
          </w:tcPr>
          <w:p>
            <w:pPr>
              <w:widowControl/>
              <w:spacing w:after="144" w:line="260" w:lineRule="exact"/>
              <w:jc w:val="center"/>
              <w:rPr>
                <w:rFonts w:ascii="宋体" w:hAnsi="宋体" w:cs="宋体"/>
                <w:kern w:val="0"/>
                <w:sz w:val="24"/>
                <w:lang w:bidi="ar"/>
              </w:rPr>
            </w:pPr>
            <w:r>
              <w:rPr>
                <w:rFonts w:hint="eastAsia" w:ascii="宋体" w:hAnsi="宋体" w:cs="宋体"/>
                <w:kern w:val="0"/>
                <w:sz w:val="24"/>
                <w:lang w:bidi="ar"/>
              </w:rPr>
              <w:t>未经复议直接起诉</w:t>
            </w:r>
          </w:p>
        </w:tc>
        <w:tc>
          <w:tcPr>
            <w:tcW w:w="2364" w:type="dxa"/>
            <w:gridSpan w:val="5"/>
            <w:tcMar>
              <w:left w:w="108" w:type="dxa"/>
              <w:right w:w="108" w:type="dxa"/>
            </w:tcMar>
            <w:vAlign w:val="center"/>
          </w:tcPr>
          <w:p>
            <w:pPr>
              <w:widowControl/>
              <w:spacing w:after="144" w:line="260" w:lineRule="exact"/>
              <w:jc w:val="center"/>
              <w:rPr>
                <w:rFonts w:ascii="宋体" w:hAnsi="宋体" w:cs="宋体"/>
                <w:kern w:val="0"/>
                <w:sz w:val="24"/>
                <w:lang w:bidi="ar"/>
              </w:rPr>
            </w:pPr>
            <w:r>
              <w:rPr>
                <w:rFonts w:hint="eastAsia" w:ascii="宋体" w:hAnsi="宋体" w:cs="宋体"/>
                <w:kern w:val="0"/>
                <w:sz w:val="24"/>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19" w:hRule="atLeast"/>
          <w:jc w:val="center"/>
        </w:trPr>
        <w:tc>
          <w:tcPr>
            <w:tcW w:w="846" w:type="dxa"/>
            <w:vMerge w:val="continue"/>
            <w:tcBorders>
              <w:top w:val="nil"/>
            </w:tcBorders>
            <w:tcMar>
              <w:left w:w="108" w:type="dxa"/>
              <w:right w:w="108" w:type="dxa"/>
            </w:tcMar>
            <w:vAlign w:val="center"/>
          </w:tcPr>
          <w:p>
            <w:pPr>
              <w:widowControl/>
              <w:spacing w:after="144" w:line="260" w:lineRule="exact"/>
              <w:jc w:val="left"/>
              <w:rPr>
                <w:rFonts w:hint="eastAsia" w:ascii="宋体" w:hAnsi="宋体" w:cs="宋体"/>
                <w:kern w:val="0"/>
                <w:sz w:val="24"/>
                <w:lang w:bidi="ar"/>
              </w:rPr>
            </w:pPr>
          </w:p>
        </w:tc>
        <w:tc>
          <w:tcPr>
            <w:tcW w:w="851" w:type="dxa"/>
            <w:vMerge w:val="continue"/>
            <w:tcMar>
              <w:left w:w="108" w:type="dxa"/>
              <w:right w:w="108" w:type="dxa"/>
            </w:tcMar>
            <w:vAlign w:val="center"/>
          </w:tcPr>
          <w:p>
            <w:pPr>
              <w:widowControl/>
              <w:spacing w:after="144" w:line="260" w:lineRule="exact"/>
              <w:jc w:val="left"/>
              <w:rPr>
                <w:rFonts w:hint="eastAsia" w:ascii="宋体" w:hAnsi="宋体" w:cs="宋体"/>
                <w:kern w:val="0"/>
                <w:sz w:val="24"/>
                <w:lang w:bidi="ar"/>
              </w:rPr>
            </w:pPr>
          </w:p>
        </w:tc>
        <w:tc>
          <w:tcPr>
            <w:tcW w:w="8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lang w:bidi="ar"/>
              </w:rPr>
            </w:pPr>
          </w:p>
        </w:tc>
        <w:tc>
          <w:tcPr>
            <w:tcW w:w="706" w:type="dxa"/>
            <w:vMerge w:val="continue"/>
            <w:tcMar>
              <w:left w:w="108" w:type="dxa"/>
              <w:right w:w="108" w:type="dxa"/>
            </w:tcMar>
            <w:vAlign w:val="center"/>
          </w:tcPr>
          <w:p>
            <w:pPr>
              <w:widowControl/>
              <w:spacing w:after="144" w:line="260" w:lineRule="exact"/>
              <w:jc w:val="left"/>
              <w:rPr>
                <w:rFonts w:hint="eastAsia" w:ascii="宋体" w:hAnsi="宋体" w:cs="宋体"/>
                <w:kern w:val="0"/>
                <w:sz w:val="24"/>
                <w:lang w:bidi="ar"/>
              </w:rPr>
            </w:pPr>
          </w:p>
        </w:tc>
        <w:tc>
          <w:tcPr>
            <w:tcW w:w="456" w:type="dxa"/>
            <w:vMerge w:val="continue"/>
            <w:tcMar>
              <w:left w:w="108" w:type="dxa"/>
              <w:right w:w="108" w:type="dxa"/>
            </w:tcMar>
            <w:vAlign w:val="center"/>
          </w:tcPr>
          <w:p>
            <w:pPr>
              <w:widowControl/>
              <w:spacing w:after="144" w:line="260" w:lineRule="exact"/>
              <w:jc w:val="left"/>
              <w:rPr>
                <w:rFonts w:hint="eastAsia" w:ascii="宋体" w:hAnsi="宋体" w:cs="宋体"/>
                <w:kern w:val="0"/>
                <w:sz w:val="24"/>
                <w:lang w:bidi="ar"/>
              </w:rPr>
            </w:pPr>
          </w:p>
        </w:tc>
        <w:tc>
          <w:tcPr>
            <w:tcW w:w="706"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结果维持</w:t>
            </w:r>
          </w:p>
        </w:tc>
        <w:tc>
          <w:tcPr>
            <w:tcW w:w="706"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结果纠正</w:t>
            </w:r>
          </w:p>
        </w:tc>
        <w:tc>
          <w:tcPr>
            <w:tcW w:w="711" w:type="dxa"/>
            <w:tcMar>
              <w:left w:w="108" w:type="dxa"/>
              <w:right w:w="108" w:type="dxa"/>
            </w:tcMar>
            <w:vAlign w:val="center"/>
          </w:tcPr>
          <w:p>
            <w:pPr>
              <w:widowControl/>
              <w:spacing w:after="144" w:line="260" w:lineRule="exact"/>
              <w:jc w:val="center"/>
              <w:rPr>
                <w:rFonts w:ascii="宋体" w:hAnsi="宋体" w:cs="宋体"/>
                <w:kern w:val="0"/>
                <w:sz w:val="24"/>
                <w:lang w:bidi="ar"/>
              </w:rPr>
            </w:pPr>
            <w:r>
              <w:rPr>
                <w:rFonts w:hint="eastAsia" w:ascii="宋体" w:hAnsi="宋体" w:cs="宋体"/>
                <w:kern w:val="0"/>
                <w:sz w:val="24"/>
                <w:lang w:bidi="ar"/>
              </w:rPr>
              <w:t>其他结果</w:t>
            </w:r>
          </w:p>
        </w:tc>
        <w:tc>
          <w:tcPr>
            <w:tcW w:w="789"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尚未审结</w:t>
            </w:r>
          </w:p>
        </w:tc>
        <w:tc>
          <w:tcPr>
            <w:tcW w:w="456"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总计</w:t>
            </w:r>
          </w:p>
        </w:tc>
        <w:tc>
          <w:tcPr>
            <w:tcW w:w="456"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结果维持</w:t>
            </w:r>
          </w:p>
        </w:tc>
        <w:tc>
          <w:tcPr>
            <w:tcW w:w="527"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结果纠正</w:t>
            </w:r>
          </w:p>
        </w:tc>
        <w:tc>
          <w:tcPr>
            <w:tcW w:w="456"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其他结果</w:t>
            </w:r>
          </w:p>
        </w:tc>
        <w:tc>
          <w:tcPr>
            <w:tcW w:w="469"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尚未审结</w:t>
            </w:r>
          </w:p>
        </w:tc>
        <w:tc>
          <w:tcPr>
            <w:tcW w:w="456" w:type="dxa"/>
            <w:tcMar>
              <w:left w:w="108" w:type="dxa"/>
              <w:right w:w="108" w:type="dxa"/>
            </w:tcMar>
            <w:vAlign w:val="center"/>
          </w:tcPr>
          <w:p>
            <w:pPr>
              <w:widowControl/>
              <w:spacing w:after="144" w:line="260" w:lineRule="exact"/>
              <w:jc w:val="left"/>
              <w:rPr>
                <w:rFonts w:ascii="宋体" w:hAnsi="宋体" w:cs="宋体"/>
                <w:kern w:val="0"/>
                <w:sz w:val="24"/>
                <w:lang w:bidi="ar"/>
              </w:rPr>
            </w:pPr>
            <w:r>
              <w:rPr>
                <w:rFonts w:hint="eastAsia" w:ascii="宋体" w:hAnsi="宋体" w:cs="宋体"/>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4" w:hRule="atLeast"/>
          <w:jc w:val="center"/>
        </w:trPr>
        <w:tc>
          <w:tcPr>
            <w:tcW w:w="84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44" w:line="320" w:lineRule="exact"/>
              <w:ind w:left="0" w:leftChars="0" w:right="0" w:rightChars="0" w:firstLine="0" w:firstLineChars="0"/>
              <w:jc w:val="left"/>
              <w:textAlignment w:val="auto"/>
              <w:outlineLvl w:val="9"/>
              <w:rPr>
                <w:rFonts w:hint="eastAsia" w:ascii="宋体" w:hAnsi="宋体" w:cs="宋体"/>
                <w:kern w:val="0"/>
                <w:sz w:val="24"/>
                <w:lang w:val="en-US" w:eastAsia="zh-CN" w:bidi="ar"/>
              </w:rPr>
            </w:pPr>
            <w:r>
              <w:rPr>
                <w:rFonts w:hint="eastAsia" w:ascii="宋体" w:hAnsi="宋体" w:cs="宋体"/>
                <w:kern w:val="0"/>
                <w:sz w:val="24"/>
                <w:lang w:val="en-US" w:eastAsia="zh-CN" w:bidi="ar"/>
              </w:rPr>
              <w:t>无</w:t>
            </w:r>
          </w:p>
        </w:tc>
        <w:tc>
          <w:tcPr>
            <w:tcW w:w="85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44" w:line="320" w:lineRule="exact"/>
              <w:ind w:left="0" w:leftChars="0" w:right="0" w:rightChars="0" w:firstLine="0" w:firstLineChars="0"/>
              <w:jc w:val="left"/>
              <w:textAlignment w:val="auto"/>
              <w:outlineLvl w:val="9"/>
              <w:rPr>
                <w:rFonts w:hint="eastAsia" w:ascii="宋体" w:hAnsi="宋体" w:cs="宋体"/>
                <w:kern w:val="0"/>
                <w:sz w:val="24"/>
                <w:lang w:val="en-US" w:eastAsia="zh-CN" w:bidi="ar"/>
              </w:rPr>
            </w:pPr>
            <w:r>
              <w:rPr>
                <w:rFonts w:hint="eastAsia" w:ascii="宋体" w:hAnsi="宋体" w:cs="宋体"/>
                <w:kern w:val="0"/>
                <w:sz w:val="24"/>
                <w:lang w:val="en-US" w:eastAsia="zh-CN" w:bidi="ar"/>
              </w:rPr>
              <w:t>无</w:t>
            </w:r>
          </w:p>
        </w:tc>
        <w:tc>
          <w:tcPr>
            <w:tcW w:w="83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44" w:line="320" w:lineRule="exact"/>
              <w:ind w:left="0" w:leftChars="0" w:right="0" w:rightChars="0" w:firstLine="0" w:firstLineChars="0"/>
              <w:jc w:val="left"/>
              <w:textAlignment w:val="auto"/>
              <w:outlineLvl w:val="9"/>
              <w:rPr>
                <w:rFonts w:hint="eastAsia" w:ascii="宋体" w:hAnsi="宋体" w:cs="宋体"/>
                <w:kern w:val="0"/>
                <w:sz w:val="24"/>
                <w:lang w:val="en-US" w:eastAsia="zh-CN" w:bidi="ar"/>
              </w:rPr>
            </w:pPr>
            <w:r>
              <w:rPr>
                <w:rFonts w:hint="eastAsia" w:ascii="宋体" w:hAnsi="宋体" w:cs="宋体"/>
                <w:kern w:val="0"/>
                <w:sz w:val="24"/>
                <w:lang w:val="en-US" w:eastAsia="zh-CN" w:bidi="ar"/>
              </w:rPr>
              <w:t>无</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44" w:line="320" w:lineRule="exact"/>
              <w:ind w:left="0" w:leftChars="0" w:right="0" w:rightChars="0" w:firstLine="0" w:firstLineChars="0"/>
              <w:jc w:val="left"/>
              <w:textAlignment w:val="auto"/>
              <w:outlineLvl w:val="9"/>
              <w:rPr>
                <w:rFonts w:hint="eastAsia" w:ascii="宋体" w:hAnsi="宋体" w:cs="宋体"/>
                <w:kern w:val="0"/>
                <w:sz w:val="24"/>
                <w:lang w:val="en-US" w:eastAsia="zh-CN" w:bidi="ar"/>
              </w:rPr>
            </w:pPr>
            <w:r>
              <w:rPr>
                <w:rFonts w:hint="eastAsia" w:ascii="宋体" w:hAnsi="宋体" w:cs="宋体"/>
                <w:kern w:val="0"/>
                <w:sz w:val="24"/>
                <w:lang w:val="en-US" w:eastAsia="zh-CN" w:bidi="ar"/>
              </w:rPr>
              <w:t>无</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44" w:line="320" w:lineRule="exact"/>
              <w:ind w:left="0" w:leftChars="0" w:right="0" w:rightChars="0" w:firstLine="0" w:firstLineChars="0"/>
              <w:jc w:val="left"/>
              <w:textAlignment w:val="auto"/>
              <w:outlineLvl w:val="9"/>
              <w:rPr>
                <w:rFonts w:hint="eastAsia" w:ascii="宋体" w:hAnsi="宋体" w:cs="宋体"/>
                <w:kern w:val="0"/>
                <w:sz w:val="24"/>
                <w:lang w:val="en-US" w:eastAsia="zh-CN" w:bidi="ar"/>
              </w:rPr>
            </w:pPr>
            <w:r>
              <w:rPr>
                <w:rFonts w:hint="eastAsia" w:ascii="宋体" w:hAnsi="宋体" w:cs="宋体"/>
                <w:kern w:val="0"/>
                <w:sz w:val="24"/>
                <w:lang w:val="en-US" w:eastAsia="zh-CN" w:bidi="ar"/>
              </w:rPr>
              <w:t>无</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44" w:line="320" w:lineRule="exact"/>
              <w:ind w:left="0" w:leftChars="0" w:right="0" w:rightChars="0" w:firstLine="0" w:firstLineChars="0"/>
              <w:jc w:val="left"/>
              <w:textAlignment w:val="auto"/>
              <w:outlineLvl w:val="9"/>
              <w:rPr>
                <w:rFonts w:hint="eastAsia" w:ascii="宋体" w:hAnsi="宋体" w:cs="宋体"/>
                <w:kern w:val="0"/>
                <w:sz w:val="24"/>
                <w:lang w:val="en-US" w:eastAsia="zh-CN" w:bidi="ar"/>
              </w:rPr>
            </w:pPr>
            <w:r>
              <w:rPr>
                <w:rFonts w:hint="eastAsia" w:ascii="宋体" w:hAnsi="宋体" w:cs="宋体"/>
                <w:kern w:val="0"/>
                <w:sz w:val="24"/>
                <w:lang w:val="en-US" w:eastAsia="zh-CN" w:bidi="ar"/>
              </w:rPr>
              <w:t>无</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44" w:line="320" w:lineRule="exact"/>
              <w:ind w:left="0" w:leftChars="0" w:right="0" w:rightChars="0" w:firstLine="0" w:firstLineChars="0"/>
              <w:jc w:val="left"/>
              <w:textAlignment w:val="auto"/>
              <w:outlineLvl w:val="9"/>
              <w:rPr>
                <w:rFonts w:hint="eastAsia" w:ascii="宋体" w:hAnsi="宋体" w:cs="宋体"/>
                <w:kern w:val="0"/>
                <w:sz w:val="24"/>
                <w:lang w:val="en-US" w:eastAsia="zh-CN" w:bidi="ar"/>
              </w:rPr>
            </w:pPr>
            <w:r>
              <w:rPr>
                <w:rFonts w:hint="eastAsia" w:ascii="宋体" w:hAnsi="宋体" w:cs="宋体"/>
                <w:kern w:val="0"/>
                <w:sz w:val="24"/>
                <w:lang w:val="en-US" w:eastAsia="zh-CN" w:bidi="ar"/>
              </w:rPr>
              <w:t>无</w:t>
            </w:r>
          </w:p>
        </w:tc>
        <w:tc>
          <w:tcPr>
            <w:tcW w:w="71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44" w:line="320" w:lineRule="exact"/>
              <w:ind w:left="0" w:leftChars="0" w:right="0" w:rightChars="0" w:firstLine="0" w:firstLineChars="0"/>
              <w:jc w:val="left"/>
              <w:textAlignment w:val="auto"/>
              <w:outlineLvl w:val="9"/>
              <w:rPr>
                <w:rFonts w:hint="eastAsia" w:ascii="宋体" w:hAnsi="宋体" w:cs="宋体"/>
                <w:kern w:val="0"/>
                <w:sz w:val="24"/>
                <w:lang w:val="en-US" w:eastAsia="zh-CN" w:bidi="ar"/>
              </w:rPr>
            </w:pPr>
            <w:r>
              <w:rPr>
                <w:rFonts w:hint="eastAsia" w:ascii="宋体" w:hAnsi="宋体" w:cs="宋体"/>
                <w:kern w:val="0"/>
                <w:sz w:val="24"/>
                <w:lang w:val="en-US" w:eastAsia="zh-CN" w:bidi="ar"/>
              </w:rPr>
              <w:t>无</w:t>
            </w:r>
          </w:p>
        </w:tc>
        <w:tc>
          <w:tcPr>
            <w:tcW w:w="78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44" w:line="320" w:lineRule="exact"/>
              <w:ind w:left="0" w:leftChars="0" w:right="0" w:rightChars="0" w:firstLine="0" w:firstLineChars="0"/>
              <w:jc w:val="left"/>
              <w:textAlignment w:val="auto"/>
              <w:outlineLvl w:val="9"/>
              <w:rPr>
                <w:rFonts w:hint="eastAsia" w:ascii="宋体" w:hAnsi="宋体" w:cs="宋体"/>
                <w:kern w:val="0"/>
                <w:sz w:val="24"/>
                <w:lang w:val="en-US" w:eastAsia="zh-CN" w:bidi="ar"/>
              </w:rPr>
            </w:pPr>
            <w:r>
              <w:rPr>
                <w:rFonts w:hint="eastAsia" w:ascii="宋体" w:hAnsi="宋体" w:cs="宋体"/>
                <w:kern w:val="0"/>
                <w:sz w:val="24"/>
                <w:lang w:val="en-US" w:eastAsia="zh-CN" w:bidi="ar"/>
              </w:rPr>
              <w:t>无</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44" w:line="320" w:lineRule="exact"/>
              <w:ind w:left="0" w:leftChars="0" w:right="0" w:rightChars="0" w:firstLine="0" w:firstLineChars="0"/>
              <w:jc w:val="left"/>
              <w:textAlignment w:val="auto"/>
              <w:outlineLvl w:val="9"/>
              <w:rPr>
                <w:rFonts w:hint="eastAsia" w:ascii="宋体" w:hAnsi="宋体" w:cs="宋体"/>
                <w:kern w:val="0"/>
                <w:sz w:val="24"/>
                <w:lang w:val="en-US" w:eastAsia="zh-CN" w:bidi="ar"/>
              </w:rPr>
            </w:pPr>
            <w:r>
              <w:rPr>
                <w:rFonts w:hint="eastAsia" w:ascii="宋体" w:hAnsi="宋体" w:cs="宋体"/>
                <w:kern w:val="0"/>
                <w:sz w:val="24"/>
                <w:lang w:val="en-US" w:eastAsia="zh-CN" w:bidi="ar"/>
              </w:rPr>
              <w:t>无</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44" w:line="320" w:lineRule="exact"/>
              <w:ind w:left="0" w:leftChars="0" w:right="0" w:rightChars="0" w:firstLine="0" w:firstLineChars="0"/>
              <w:jc w:val="left"/>
              <w:textAlignment w:val="auto"/>
              <w:outlineLvl w:val="9"/>
              <w:rPr>
                <w:rFonts w:hint="eastAsia" w:ascii="宋体" w:hAnsi="宋体" w:cs="宋体"/>
                <w:kern w:val="0"/>
                <w:sz w:val="24"/>
                <w:lang w:val="en-US" w:eastAsia="zh-CN" w:bidi="ar"/>
              </w:rPr>
            </w:pPr>
            <w:r>
              <w:rPr>
                <w:rFonts w:hint="eastAsia" w:ascii="宋体" w:hAnsi="宋体" w:cs="宋体"/>
                <w:kern w:val="0"/>
                <w:sz w:val="24"/>
                <w:lang w:val="en-US" w:eastAsia="zh-CN" w:bidi="ar"/>
              </w:rPr>
              <w:t>无</w:t>
            </w:r>
          </w:p>
        </w:tc>
        <w:tc>
          <w:tcPr>
            <w:tcW w:w="5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44" w:line="320" w:lineRule="exact"/>
              <w:ind w:left="0" w:leftChars="0" w:right="0" w:rightChars="0" w:firstLine="0" w:firstLineChars="0"/>
              <w:jc w:val="left"/>
              <w:textAlignment w:val="auto"/>
              <w:outlineLvl w:val="9"/>
              <w:rPr>
                <w:rFonts w:hint="eastAsia" w:ascii="宋体" w:hAnsi="宋体" w:cs="宋体"/>
                <w:kern w:val="0"/>
                <w:sz w:val="24"/>
                <w:lang w:val="en-US" w:eastAsia="zh-CN" w:bidi="ar"/>
              </w:rPr>
            </w:pPr>
            <w:r>
              <w:rPr>
                <w:rFonts w:hint="eastAsia" w:ascii="宋体" w:hAnsi="宋体" w:cs="宋体"/>
                <w:kern w:val="0"/>
                <w:sz w:val="24"/>
                <w:lang w:val="en-US" w:eastAsia="zh-CN" w:bidi="ar"/>
              </w:rPr>
              <w:t>无</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44" w:line="320" w:lineRule="exact"/>
              <w:ind w:left="0" w:leftChars="0" w:right="0" w:rightChars="0" w:firstLine="0" w:firstLineChars="0"/>
              <w:jc w:val="left"/>
              <w:textAlignment w:val="auto"/>
              <w:outlineLvl w:val="9"/>
              <w:rPr>
                <w:rFonts w:hint="eastAsia" w:ascii="宋体" w:hAnsi="宋体" w:cs="宋体"/>
                <w:kern w:val="0"/>
                <w:sz w:val="24"/>
                <w:lang w:val="en-US" w:eastAsia="zh-CN" w:bidi="ar"/>
              </w:rPr>
            </w:pPr>
            <w:r>
              <w:rPr>
                <w:rFonts w:hint="eastAsia" w:ascii="宋体" w:hAnsi="宋体" w:cs="宋体"/>
                <w:kern w:val="0"/>
                <w:sz w:val="24"/>
                <w:lang w:val="en-US" w:eastAsia="zh-CN" w:bidi="ar"/>
              </w:rPr>
              <w:t>无</w:t>
            </w:r>
          </w:p>
        </w:tc>
        <w:tc>
          <w:tcPr>
            <w:tcW w:w="46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44" w:line="320" w:lineRule="exact"/>
              <w:ind w:left="0" w:leftChars="0" w:right="0" w:rightChars="0" w:firstLine="0" w:firstLineChars="0"/>
              <w:jc w:val="left"/>
              <w:textAlignment w:val="auto"/>
              <w:outlineLvl w:val="9"/>
              <w:rPr>
                <w:rFonts w:hint="eastAsia" w:ascii="宋体" w:hAnsi="宋体" w:cs="宋体"/>
                <w:kern w:val="0"/>
                <w:sz w:val="24"/>
                <w:lang w:val="en-US" w:eastAsia="zh-CN" w:bidi="ar"/>
              </w:rPr>
            </w:pPr>
            <w:r>
              <w:rPr>
                <w:rFonts w:hint="eastAsia" w:ascii="宋体" w:hAnsi="宋体" w:cs="宋体"/>
                <w:kern w:val="0"/>
                <w:sz w:val="24"/>
                <w:lang w:val="en-US" w:eastAsia="zh-CN" w:bidi="ar"/>
              </w:rPr>
              <w:t>无</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44" w:line="320" w:lineRule="exact"/>
              <w:ind w:left="0" w:leftChars="0" w:right="0" w:rightChars="0" w:firstLine="0" w:firstLineChars="0"/>
              <w:jc w:val="left"/>
              <w:textAlignment w:val="auto"/>
              <w:outlineLvl w:val="9"/>
              <w:rPr>
                <w:rFonts w:hint="eastAsia" w:ascii="宋体" w:hAnsi="宋体" w:cs="宋体"/>
                <w:kern w:val="0"/>
                <w:sz w:val="24"/>
                <w:lang w:val="en-US" w:eastAsia="zh-CN" w:bidi="ar"/>
              </w:rPr>
            </w:pPr>
            <w:r>
              <w:rPr>
                <w:rFonts w:hint="eastAsia" w:ascii="宋体" w:hAnsi="宋体" w:cs="宋体"/>
                <w:kern w:val="0"/>
                <w:sz w:val="24"/>
                <w:lang w:val="en-US" w:eastAsia="zh-CN" w:bidi="ar"/>
              </w:rPr>
              <w:t>无</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firstLineChars="199"/>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firstLineChars="199"/>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2022年，阿合奇县公安局政务信息公开虽然取得了一定进展，切实保障了人民群众的知情权、参与权和监督权，为建设法制性、透明性政府迈出坚实的一步，但距离县委、县政府和人民群众的要求还有一定的差距，存在一些不足和问题,主要表现在：</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政务信息公开力度有待进一步加大；</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政务信息公开的内容不够全面，公开信息质量不够高；</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信息公开更新还不够及</w:t>
      </w:r>
      <w:r>
        <w:rPr>
          <w:rFonts w:hint="eastAsia" w:ascii="仿宋_GB2312" w:hAnsi="仿宋_GB2312" w:eastAsia="仿宋_GB2312" w:cs="仿宋_GB2312"/>
          <w:b w:val="0"/>
          <w:bCs w:val="0"/>
          <w:sz w:val="32"/>
          <w:szCs w:val="32"/>
          <w:lang w:val="en-US" w:eastAsia="zh-CN"/>
        </w:rPr>
        <w:t>时，信息公布实效性需要进一步提高。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firstLineChars="199"/>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针对上述问题，阿合奇县公安局采取以下改进措施：</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加强管理，加大信息公开力度，加强与相关部门联系，努力做到政务信息内容不断充实和完善。</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进一步完善信息公开制度，提升政务信息公开工作水平强化信息公开的责任意识、大局意识、服务意识，确保政务信息公开工作及时、准确。</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更好的接受社会公众对信息公开情况的监督。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firstLineChars="199"/>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firstLineChars="199"/>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本年度政府信息公开申请未产生信息处理费用，特此报告。</w:t>
      </w:r>
    </w:p>
    <w:p>
      <w:pPr>
        <w:pStyle w:val="2"/>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仿宋_GB2312" w:hAnsi="仿宋_GB2312" w:eastAsia="仿宋_GB2312" w:cs="仿宋_GB2312"/>
          <w:sz w:val="32"/>
          <w:szCs w:val="32"/>
        </w:rPr>
      </w:pPr>
      <w:bookmarkStart w:id="0" w:name="_GoBack"/>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napToGrid w:val="0"/>
          <w:spacing w:val="-6"/>
          <w:sz w:val="32"/>
          <w:szCs w:val="32"/>
          <w:lang w:val="en-US" w:eastAsia="zh-CN"/>
        </w:rPr>
      </w:pPr>
      <w:r>
        <w:rPr>
          <w:rFonts w:hint="eastAsia" w:ascii="仿宋_GB2312" w:hAnsi="仿宋_GB2312" w:eastAsia="仿宋_GB2312" w:cs="仿宋_GB2312"/>
          <w:snapToGrid w:val="0"/>
          <w:spacing w:val="-6"/>
          <w:sz w:val="32"/>
          <w:szCs w:val="32"/>
          <w:lang w:val="en-US" w:eastAsia="zh-CN"/>
        </w:rPr>
        <w:t xml:space="preserve">      </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snapToGrid w:val="0"/>
          <w:spacing w:val="-6"/>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 xml:space="preserve">                       阿合奇公安局</w:t>
      </w:r>
    </w:p>
    <w:p>
      <w:pPr>
        <w:pStyle w:val="2"/>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2022年1月8日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2"/>
        <w:jc w:val="both"/>
        <w:textAlignment w:val="auto"/>
        <w:outlineLvl w:val="9"/>
        <w:rPr>
          <w:rFonts w:hint="eastAsia" w:ascii="仿宋_GB2312" w:hAnsi="仿宋_GB2312" w:eastAsia="仿宋_GB2312" w:cs="仿宋_GB2312"/>
          <w:snapToGrid w:val="0"/>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2"/>
        <w:textAlignment w:val="auto"/>
        <w:outlineLvl w:val="9"/>
        <w:rPr>
          <w:rFonts w:hint="eastAsia" w:ascii="仿宋_GB2312" w:hAnsi="仿宋_GB2312" w:eastAsia="仿宋_GB2312" w:cs="仿宋_GB2312"/>
          <w:snapToGrid w:val="0"/>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2"/>
        <w:textAlignment w:val="auto"/>
        <w:outlineLvl w:val="9"/>
        <w:rPr>
          <w:rFonts w:hint="eastAsia" w:ascii="仿宋_GB2312" w:hAnsi="仿宋_GB2312" w:eastAsia="仿宋_GB2312" w:cs="仿宋_GB2312"/>
          <w:snapToGrid w:val="0"/>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napToGrid w:val="0"/>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napToGrid w:val="0"/>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napToGrid w:val="0"/>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1077"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FZFSK--GBK1-0">
    <w:altName w:val="微软雅黑"/>
    <w:panose1 w:val="00000000000000000000"/>
    <w:charset w:val="00"/>
    <w:family w:val="roman"/>
    <w:pitch w:val="default"/>
    <w:sig w:usb0="00000000" w:usb1="00000000" w:usb2="00000000" w:usb3="00000000" w:csb0="00040001" w:csb1="00000000"/>
  </w:font>
  <w:font w:name="FZKTK--GBK1-0">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D6458"/>
    <w:multiLevelType w:val="singleLevel"/>
    <w:tmpl w:val="61DD645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0500F"/>
    <w:rsid w:val="09503EC0"/>
    <w:rsid w:val="20770F28"/>
    <w:rsid w:val="2249308D"/>
    <w:rsid w:val="397D7BA5"/>
    <w:rsid w:val="3AD96D8A"/>
    <w:rsid w:val="4F1F07A5"/>
    <w:rsid w:val="51A70008"/>
    <w:rsid w:val="5A692D07"/>
    <w:rsid w:val="6BFD62EF"/>
    <w:rsid w:val="78E05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2022-01-06T13:13:00Z</dcterms:created>
  <dc:creator>王琦</dc:creator>
  <cp:lastModifiedBy>Administrator</cp:lastModifiedBy>
  <cp:lastPrinted>2022-01-14T09:20:00Z</cp:lastPrinted>
  <dcterms:modified xsi:type="dcterms:W3CDTF">2022-02-04T04:33:44Z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