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default" w:ascii="Times New Roman" w:hAnsi="Times New Roman" w:eastAsia="楷体" w:cs="Times New Roman"/>
          <w:snapToGrid w:val="0"/>
          <w:spacing w:val="-6"/>
          <w:sz w:val="32"/>
          <w:szCs w:val="32"/>
        </w:rPr>
      </w:pPr>
    </w:p>
    <w:p>
      <w:pPr>
        <w:spacing w:line="604" w:lineRule="exact"/>
        <w:jc w:val="center"/>
        <w:rPr>
          <w:rFonts w:hint="default" w:ascii="Times New Roman" w:hAnsi="Times New Roman" w:eastAsia="方正小标宋简体" w:cs="Times New Roman"/>
          <w:snapToGrid w:val="0"/>
          <w:spacing w:val="-6"/>
          <w:sz w:val="44"/>
          <w:szCs w:val="44"/>
        </w:rPr>
      </w:pPr>
      <w:r>
        <w:rPr>
          <w:rFonts w:hint="default" w:ascii="Times New Roman" w:hAnsi="Times New Roman" w:eastAsia="方正小标宋简体" w:cs="Times New Roman"/>
          <w:snapToGrid w:val="0"/>
          <w:spacing w:val="-6"/>
          <w:sz w:val="44"/>
          <w:szCs w:val="44"/>
          <w:lang w:val="en-US" w:eastAsia="zh-CN"/>
        </w:rPr>
        <w:t>阿合奇县哈拉布拉克乡人民政府</w:t>
      </w:r>
      <w:r>
        <w:rPr>
          <w:rFonts w:hint="default" w:ascii="Times New Roman" w:hAnsi="Times New Roman" w:eastAsia="方正小标宋简体" w:cs="Times New Roman"/>
          <w:snapToGrid w:val="0"/>
          <w:spacing w:val="-6"/>
          <w:sz w:val="44"/>
          <w:szCs w:val="44"/>
        </w:rPr>
        <w:t>2021年政府信息公开工作年度报告</w:t>
      </w:r>
    </w:p>
    <w:p>
      <w:pPr>
        <w:spacing w:line="604" w:lineRule="exact"/>
        <w:jc w:val="center"/>
        <w:rPr>
          <w:rFonts w:hint="default" w:ascii="Times New Roman" w:hAnsi="Times New Roman" w:eastAsia="方正小标宋简体" w:cs="Times New Roman"/>
          <w:snapToGrid w:val="0"/>
          <w:spacing w:val="-6"/>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spacing w:val="0"/>
          <w:kern w:val="2"/>
          <w:sz w:val="32"/>
          <w:szCs w:val="32"/>
          <w:lang w:val="en-US" w:eastAsia="zh-CN" w:bidi="ar-SA"/>
        </w:rPr>
      </w:pPr>
      <w:r>
        <w:rPr>
          <w:rFonts w:hint="default" w:ascii="Times New Roman" w:hAnsi="Times New Roman" w:eastAsia="仿宋_GB2312" w:cs="Times New Roman"/>
          <w:b w:val="0"/>
          <w:color w:val="auto"/>
          <w:spacing w:val="0"/>
          <w:kern w:val="2"/>
          <w:sz w:val="32"/>
          <w:szCs w:val="32"/>
          <w:lang w:val="en-US" w:eastAsia="zh-CN" w:bidi="ar-SA"/>
        </w:rPr>
        <w:t>根据《中华人民共和国政府信息公开条例》和上级有关文件要求，现向社会公布2021年阿合奇县哈拉布拉克乡人民政府信息公开年度报告。我乡在信息公开工作中充分利用政务公开栏目及时公开各类政策信息，确保群众及时了解政府信息动态，为群众办事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spacing w:val="0"/>
          <w:kern w:val="2"/>
          <w:sz w:val="32"/>
          <w:szCs w:val="32"/>
          <w:lang w:val="en-US" w:eastAsia="zh-CN" w:bidi="ar-SA"/>
        </w:rPr>
      </w:pPr>
      <w:r>
        <w:rPr>
          <w:rFonts w:hint="default" w:ascii="Times New Roman" w:hAnsi="Times New Roman" w:eastAsia="仿宋_GB2312" w:cs="Times New Roman"/>
          <w:b w:val="0"/>
          <w:color w:val="auto"/>
          <w:spacing w:val="0"/>
          <w:kern w:val="2"/>
          <w:sz w:val="32"/>
          <w:szCs w:val="32"/>
          <w:lang w:val="en-US" w:eastAsia="zh-CN" w:bidi="ar-SA"/>
        </w:rPr>
        <w:t>本报告由总体情况、主动公开政府信息情况、收到和处理政府信息公开申请情况、政府信息公开行政复议、行政诉讼情况、存在的主要问题及改进情况以及其他需要报告的事项六个部分组成。报告中所列资料数据的汇总统计期限从2021年1月1日起至2021年12月31日止。本年度报告电子版可在阿合奇县人民政府门户网站(</w:t>
      </w:r>
      <w:r>
        <w:rPr>
          <w:rFonts w:hint="eastAsia" w:ascii="Times New Roman" w:hAnsi="Times New Roman" w:eastAsia="仿宋_GB2312" w:cs="Times New Roman"/>
          <w:b w:val="0"/>
          <w:color w:val="auto"/>
          <w:spacing w:val="0"/>
          <w:kern w:val="2"/>
          <w:sz w:val="32"/>
          <w:szCs w:val="32"/>
          <w:lang w:val="en-US" w:eastAsia="zh-CN" w:bidi="ar-SA"/>
        </w:rPr>
        <w:t>www</w:t>
      </w:r>
      <w:r>
        <w:rPr>
          <w:rFonts w:hint="default" w:ascii="Times New Roman" w:hAnsi="Times New Roman" w:eastAsia="仿宋_GB2312" w:cs="Times New Roman"/>
          <w:b w:val="0"/>
          <w:color w:val="auto"/>
          <w:spacing w:val="0"/>
          <w:kern w:val="2"/>
          <w:sz w:val="32"/>
          <w:szCs w:val="32"/>
          <w:lang w:val="en-US" w:eastAsia="zh-CN" w:bidi="ar-SA"/>
        </w:rPr>
        <w:t>.xjahq.gov.cn)政府信息公开年度报告栏内下载。如对本报告有任何疑问，请与哈拉布拉克乡人民政府办公室联系（地址：阿合奇县哈拉布拉克乡哈拉布拉克村；邮编：843505；电话：0908-5623138；传真：5623138；电子邮箱：</w:t>
      </w:r>
      <w:r>
        <w:rPr>
          <w:rFonts w:hint="default" w:ascii="Times New Roman" w:hAnsi="Times New Roman" w:eastAsia="仿宋_GB2312" w:cs="Times New Roman"/>
          <w:b w:val="0"/>
          <w:color w:val="auto"/>
          <w:spacing w:val="0"/>
          <w:kern w:val="2"/>
          <w:sz w:val="32"/>
          <w:szCs w:val="32"/>
          <w:lang w:val="en-US" w:eastAsia="zh-CN" w:bidi="ar-SA"/>
        </w:rPr>
        <w:fldChar w:fldCharType="begin"/>
      </w:r>
      <w:r>
        <w:rPr>
          <w:rFonts w:hint="default" w:ascii="Times New Roman" w:hAnsi="Times New Roman" w:eastAsia="仿宋_GB2312" w:cs="Times New Roman"/>
          <w:b w:val="0"/>
          <w:color w:val="auto"/>
          <w:spacing w:val="0"/>
          <w:kern w:val="2"/>
          <w:sz w:val="32"/>
          <w:szCs w:val="32"/>
          <w:lang w:val="en-US" w:eastAsia="zh-CN" w:bidi="ar-SA"/>
        </w:rPr>
        <w:instrText xml:space="preserve"> HYPERLINK "mailto:ahqhlblk@163.com）。" </w:instrText>
      </w:r>
      <w:r>
        <w:rPr>
          <w:rFonts w:hint="default" w:ascii="Times New Roman" w:hAnsi="Times New Roman" w:eastAsia="仿宋_GB2312" w:cs="Times New Roman"/>
          <w:b w:val="0"/>
          <w:color w:val="auto"/>
          <w:spacing w:val="0"/>
          <w:kern w:val="2"/>
          <w:sz w:val="32"/>
          <w:szCs w:val="32"/>
          <w:lang w:val="en-US" w:eastAsia="zh-CN" w:bidi="ar-SA"/>
        </w:rPr>
        <w:fldChar w:fldCharType="separate"/>
      </w:r>
      <w:r>
        <w:rPr>
          <w:rFonts w:hint="default" w:ascii="Times New Roman" w:hAnsi="Times New Roman" w:eastAsia="仿宋_GB2312" w:cs="Times New Roman"/>
          <w:b w:val="0"/>
          <w:color w:val="auto"/>
          <w:spacing w:val="0"/>
          <w:kern w:val="2"/>
          <w:sz w:val="32"/>
          <w:szCs w:val="32"/>
          <w:lang w:val="en-US" w:eastAsia="zh-CN" w:bidi="ar-SA"/>
        </w:rPr>
        <w:t>ahqhlblk@163.com）。</w:t>
      </w:r>
      <w:r>
        <w:rPr>
          <w:rFonts w:hint="default" w:ascii="Times New Roman" w:hAnsi="Times New Roman" w:eastAsia="仿宋_GB2312" w:cs="Times New Roman"/>
          <w:b w:val="0"/>
          <w:color w:val="auto"/>
          <w:spacing w:val="0"/>
          <w:kern w:val="2"/>
          <w:sz w:val="32"/>
          <w:szCs w:val="32"/>
          <w:lang w:val="en-US" w:eastAsia="zh-CN" w:bidi="ar-SA"/>
        </w:rPr>
        <w:fldChar w:fldCharType="end"/>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黑体" w:cs="Times New Roman"/>
          <w:snapToGrid w:val="0"/>
          <w:spacing w:val="-6"/>
          <w:sz w:val="32"/>
          <w:szCs w:val="32"/>
        </w:rPr>
      </w:pPr>
      <w:r>
        <w:rPr>
          <w:rFonts w:hint="default" w:ascii="Times New Roman" w:hAnsi="Times New Roman" w:eastAsia="黑体" w:cs="Times New Roman"/>
          <w:snapToGrid w:val="0"/>
          <w:spacing w:val="-6"/>
          <w:sz w:val="32"/>
          <w:szCs w:val="32"/>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2021年我乡紧紧围绕县委、县政府决策部署和2021年哈拉布拉克乡全年工作目标，及时将落实措施及执行情况向社会公开。重点公开涉及群众切身利益、需要群众广泛知晓的事项以及法律法规规定需要公开的其他事项。同时加强对党务、政务、村务公开的监督检查。把公开透明的要求贯穿于政务服务各个环节，以公开促进政务服务水平的提高，创造条件保障人民群众更好的了解和监督乡政府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（一）主动公开政府信息情况。2021年，哈拉布拉克乡人民政府</w:t>
      </w:r>
      <w:r>
        <w:rPr>
          <w:rFonts w:hint="eastAsia" w:ascii="Times New Roman" w:hAnsi="Times New Roman" w:eastAsia="仿宋_GB2312" w:cs="Times New Roman"/>
          <w:b w:val="0"/>
          <w:color w:val="auto"/>
          <w:kern w:val="2"/>
          <w:sz w:val="32"/>
          <w:szCs w:val="32"/>
          <w:shd w:val="clear" w:color="auto" w:fill="auto"/>
          <w:lang w:val="en-US" w:eastAsia="zh-CN" w:bidi="ar-SA"/>
        </w:rPr>
        <w:t>在</w:t>
      </w:r>
      <w:r>
        <w:rPr>
          <w:rFonts w:hint="default" w:ascii="Times New Roman" w:hAnsi="Times New Roman" w:eastAsia="仿宋_GB2312" w:cs="Times New Roman"/>
          <w:b w:val="0"/>
          <w:color w:val="auto"/>
          <w:kern w:val="2"/>
          <w:sz w:val="32"/>
          <w:szCs w:val="32"/>
          <w:shd w:val="clear" w:color="auto" w:fill="auto"/>
          <w:lang w:val="en-US" w:eastAsia="zh-CN" w:bidi="ar-SA"/>
        </w:rPr>
        <w:t>网站主动公开信息26条，其中领导变更1条、政府公文1条，通知公告1条，政策解读1条、其他类信息22条。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（二）依申请公开政府信息情况。2021年，我乡未收到依申请公开政府信息申请件。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三）政府信息管理情况。坚持“公开为常态、不公开为例外”，不断拓宽主动公开内容，推进重点领域信息公开，明确公开事项受理、审查和处理工作程序，向群众公开办事程序、决策过程和办事结果，着力打造优质、便捷、高效的政务环境，保障人民群众的知情权、参与权、表达权和监督权。</w:t>
      </w:r>
      <w:r>
        <w:rPr>
          <w:rFonts w:hint="eastAsia" w:ascii="仿宋_GB2312" w:eastAsia="仿宋_GB2312" w:cs="Times New Roman"/>
          <w:color w:val="auto"/>
          <w:spacing w:val="0"/>
          <w:sz w:val="32"/>
          <w:szCs w:val="32"/>
          <w:lang w:val="en-US" w:eastAsia="zh-CN"/>
        </w:rPr>
        <w:t>严格落实政府信息保密审查制度</w:t>
      </w:r>
      <w:r>
        <w:rPr>
          <w:rFonts w:hint="eastAsia" w:ascii="仿宋_GB2312" w:eastAsia="仿宋_GB2312" w:cs="Times New Roman"/>
          <w:color w:val="auto"/>
          <w:spacing w:val="0"/>
          <w:sz w:val="32"/>
          <w:szCs w:val="32"/>
        </w:rPr>
        <w:t>，政</w:t>
      </w:r>
      <w:r>
        <w:rPr>
          <w:rFonts w:hint="eastAsia" w:ascii="仿宋_GB2312" w:eastAsia="仿宋_GB2312" w:cs="Times New Roman"/>
          <w:color w:val="auto"/>
          <w:spacing w:val="0"/>
          <w:sz w:val="32"/>
          <w:szCs w:val="32"/>
          <w:lang w:val="en-US" w:eastAsia="zh-CN"/>
        </w:rPr>
        <w:t>府</w:t>
      </w:r>
      <w:r>
        <w:rPr>
          <w:rFonts w:hint="eastAsia" w:ascii="仿宋_GB2312" w:eastAsia="仿宋_GB2312" w:cs="Times New Roman"/>
          <w:color w:val="auto"/>
          <w:spacing w:val="0"/>
          <w:sz w:val="32"/>
          <w:szCs w:val="32"/>
        </w:rPr>
        <w:t>信息公开前，进行</w:t>
      </w:r>
      <w:r>
        <w:rPr>
          <w:rFonts w:hint="eastAsia" w:ascii="仿宋_GB2312" w:eastAsia="仿宋_GB2312" w:cs="Times New Roman"/>
          <w:color w:val="auto"/>
          <w:spacing w:val="0"/>
          <w:sz w:val="32"/>
          <w:szCs w:val="32"/>
          <w:lang w:val="en-US" w:eastAsia="zh-CN"/>
        </w:rPr>
        <w:t>“三审三校”，</w:t>
      </w:r>
      <w:r>
        <w:rPr>
          <w:rFonts w:hint="eastAsia" w:ascii="仿宋_GB2312" w:eastAsia="仿宋_GB2312" w:cs="Times New Roman"/>
          <w:color w:val="auto"/>
          <w:spacing w:val="0"/>
          <w:sz w:val="32"/>
          <w:szCs w:val="32"/>
        </w:rPr>
        <w:t>审核</w:t>
      </w:r>
      <w:r>
        <w:rPr>
          <w:rFonts w:hint="eastAsia" w:ascii="仿宋_GB2312" w:eastAsia="仿宋_GB2312" w:cs="Times New Roman"/>
          <w:color w:val="auto"/>
          <w:spacing w:val="0"/>
          <w:sz w:val="32"/>
          <w:szCs w:val="32"/>
          <w:lang w:val="en-US" w:eastAsia="zh-CN"/>
        </w:rPr>
        <w:t>通过</w:t>
      </w:r>
      <w:r>
        <w:rPr>
          <w:rFonts w:hint="eastAsia" w:ascii="仿宋_GB2312" w:eastAsia="仿宋_GB2312" w:cs="Times New Roman"/>
          <w:color w:val="auto"/>
          <w:spacing w:val="0"/>
          <w:sz w:val="32"/>
          <w:szCs w:val="32"/>
        </w:rPr>
        <w:t>后，</w:t>
      </w:r>
      <w:r>
        <w:rPr>
          <w:rFonts w:hint="eastAsia" w:ascii="仿宋_GB2312" w:eastAsia="仿宋_GB2312" w:cs="Times New Roman"/>
          <w:color w:val="auto"/>
          <w:spacing w:val="0"/>
          <w:sz w:val="32"/>
          <w:szCs w:val="32"/>
          <w:lang w:val="en-US" w:eastAsia="zh-CN"/>
        </w:rPr>
        <w:t>在网站对应栏目进行</w:t>
      </w:r>
      <w:r>
        <w:rPr>
          <w:rFonts w:hint="eastAsia" w:ascii="仿宋_GB2312" w:eastAsia="仿宋_GB2312" w:cs="Times New Roman"/>
          <w:color w:val="auto"/>
          <w:spacing w:val="0"/>
          <w:sz w:val="32"/>
          <w:szCs w:val="32"/>
        </w:rPr>
        <w:t>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（四）平台建设情况。根据《2021年政务公开工作要点》和工作实际，安排专人对政府门户网站进行维护、更新，及时对反馈问题进行整改，做好栏目增减及信息迁移工作</w:t>
      </w:r>
      <w:r>
        <w:rPr>
          <w:rFonts w:hint="eastAsia" w:ascii="Times New Roman" w:hAnsi="Times New Roman" w:eastAsia="仿宋_GB2312" w:cs="Times New Roman"/>
          <w:b w:val="0"/>
          <w:color w:val="auto"/>
          <w:kern w:val="2"/>
          <w:sz w:val="32"/>
          <w:szCs w:val="32"/>
          <w:shd w:val="clear" w:color="auto" w:fill="auto"/>
          <w:lang w:val="en-US" w:eastAsia="zh-CN" w:bidi="ar-SA"/>
        </w:rPr>
        <w:t>，全力保障政府信息公开工作顺利开展。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五）监督保障情况。我乡高度重视政府信息公开工作，在政府信息公开的制度构建中制定实施细则，切实将住房、教育、医疗、交通、社保、供水、供电以及计划生育等与公众利益密切相关的民生信息作为公开重点，乡保密领导小组履行责任，严格对公开信息进行审核，纪检部门落实监督检查责任，加强政府信息公开的监督检查。</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7"/>
        <w:tblpPr w:leftFromText="180" w:rightFromText="180" w:vertAnchor="text" w:horzAnchor="page" w:tblpX="1624" w:tblpY="412"/>
        <w:tblOverlap w:val="never"/>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85"/>
        <w:gridCol w:w="1724"/>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770" w:type="dxa"/>
            <w:gridSpan w:val="4"/>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信息内容</w:t>
            </w:r>
          </w:p>
        </w:tc>
        <w:tc>
          <w:tcPr>
            <w:tcW w:w="2185"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本年制发件数</w:t>
            </w:r>
          </w:p>
        </w:tc>
        <w:tc>
          <w:tcPr>
            <w:tcW w:w="1724"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本年废止件数</w:t>
            </w:r>
          </w:p>
        </w:tc>
        <w:tc>
          <w:tcPr>
            <w:tcW w:w="2153"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sz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规章</w:t>
            </w:r>
          </w:p>
        </w:tc>
        <w:tc>
          <w:tcPr>
            <w:tcW w:w="2185"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1724"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2153"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规范性文件</w:t>
            </w:r>
          </w:p>
        </w:tc>
        <w:tc>
          <w:tcPr>
            <w:tcW w:w="2185"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1724"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2153"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770" w:type="dxa"/>
            <w:gridSpan w:val="4"/>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信息内容</w:t>
            </w:r>
          </w:p>
        </w:tc>
        <w:tc>
          <w:tcPr>
            <w:tcW w:w="6062" w:type="dxa"/>
            <w:gridSpan w:val="3"/>
            <w:vAlign w:val="top"/>
          </w:tcPr>
          <w:p>
            <w:pPr>
              <w:widowControl/>
              <w:spacing w:after="144" w:line="300" w:lineRule="exact"/>
              <w:ind w:firstLine="480" w:firstLineChars="200"/>
              <w:jc w:val="center"/>
              <w:rPr>
                <w:rFonts w:hint="default" w:ascii="Times New Roman" w:hAnsi="Times New Roman" w:cs="Times New Roman"/>
                <w:sz w:val="24"/>
              </w:rPr>
            </w:pPr>
            <w:r>
              <w:rPr>
                <w:rFonts w:hint="default" w:ascii="Times New Roman" w:hAnsi="Times New Roman" w:cs="Times New Roman"/>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行政许可</w:t>
            </w:r>
          </w:p>
        </w:tc>
        <w:tc>
          <w:tcPr>
            <w:tcW w:w="6062" w:type="dxa"/>
            <w:gridSpan w:val="3"/>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770" w:type="dxa"/>
            <w:gridSpan w:val="4"/>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信息内容</w:t>
            </w:r>
          </w:p>
        </w:tc>
        <w:tc>
          <w:tcPr>
            <w:tcW w:w="6062" w:type="dxa"/>
            <w:gridSpan w:val="3"/>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行政处罚</w:t>
            </w:r>
          </w:p>
        </w:tc>
        <w:tc>
          <w:tcPr>
            <w:tcW w:w="6062" w:type="dxa"/>
            <w:gridSpan w:val="3"/>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行政强制</w:t>
            </w:r>
          </w:p>
        </w:tc>
        <w:tc>
          <w:tcPr>
            <w:tcW w:w="6062" w:type="dxa"/>
            <w:gridSpan w:val="3"/>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770" w:type="dxa"/>
            <w:gridSpan w:val="4"/>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信息内容</w:t>
            </w:r>
          </w:p>
        </w:tc>
        <w:tc>
          <w:tcPr>
            <w:tcW w:w="6062" w:type="dxa"/>
            <w:gridSpan w:val="3"/>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sz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行政事业性收费</w:t>
            </w:r>
          </w:p>
        </w:tc>
        <w:tc>
          <w:tcPr>
            <w:tcW w:w="6062" w:type="dxa"/>
            <w:gridSpan w:val="3"/>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bl>
    <w:p>
      <w:pPr>
        <w:pStyle w:val="5"/>
        <w:widowControl/>
        <w:numPr>
          <w:ilvl w:val="0"/>
          <w:numId w:val="0"/>
        </w:numPr>
        <w:spacing w:before="0" w:beforeAutospacing="0" w:after="0" w:afterAutospacing="0" w:line="560" w:lineRule="exact"/>
        <w:jc w:val="both"/>
        <w:rPr>
          <w:rFonts w:hint="default" w:ascii="Times New Roman" w:hAnsi="Times New Roman" w:eastAsia="黑体" w:cs="Times New Roman"/>
          <w:sz w:val="32"/>
          <w:szCs w:val="30"/>
        </w:rPr>
      </w:pPr>
      <w:r>
        <w:rPr>
          <w:rFonts w:hint="eastAsia" w:ascii="Times New Roman" w:hAnsi="Times New Roman" w:eastAsia="黑体" w:cs="Times New Roman"/>
          <w:sz w:val="32"/>
          <w:szCs w:val="30"/>
          <w:lang w:val="en-US" w:eastAsia="zh-CN"/>
        </w:rPr>
        <w:t>三、</w:t>
      </w:r>
      <w:r>
        <w:rPr>
          <w:rFonts w:hint="default" w:ascii="Times New Roman" w:hAnsi="Times New Roman" w:eastAsia="黑体" w:cs="Times New Roman"/>
          <w:sz w:val="32"/>
          <w:szCs w:val="30"/>
        </w:rPr>
        <w:t>收到和处理政府信息公开申请情况</w:t>
      </w: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（本列数据的勾稽关系为：第一项加第二项之和，等于第三项加第四项之和）</w:t>
            </w:r>
          </w:p>
        </w:tc>
        <w:tc>
          <w:tcPr>
            <w:tcW w:w="4204" w:type="dxa"/>
            <w:gridSpan w:val="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自然人</w:t>
            </w:r>
          </w:p>
        </w:tc>
        <w:tc>
          <w:tcPr>
            <w:tcW w:w="3292"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法人或其他组织</w:t>
            </w: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45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商业企业</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科研机构</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社会公益组织</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法律服务机构</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其他</w:t>
            </w:r>
          </w:p>
        </w:tc>
        <w:tc>
          <w:tcPr>
            <w:tcW w:w="45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一、本年新收政府信息公开申请数量</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二、上年结转政府信息公开申请数量</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三、本年度办理结果</w:t>
            </w:r>
          </w:p>
        </w:tc>
        <w:tc>
          <w:tcPr>
            <w:tcW w:w="4313"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（一）予以公开</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4313"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（二）部分公开（区分处理的，只计这一情形，不计其他情形）</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（三）不予公开</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1.属于国家秘密</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2.其他法律行政法规禁止公开</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3.危及“三安全一稳定”</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4.保护第三方合法权益</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5.属于三类内部事务信息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6.属于四类过程性信息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7.属于行政执法案卷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8.属于行政查询事项</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（四）无法提供</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1.本机关不掌握相关政府信息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2.没有现成信息需要另行制作</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3.补正后申请内容仍不明确</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（五）不予处理</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1.信访举报投诉类申请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2.重复申请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3.要求提供公开出版物</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4.无正当理由大量反复申请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Borders>
              <w:bottom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Borders>
              <w:bottom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5.要求行政机关确认或重新出具已获取信息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Borders>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restart"/>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（六）其他处理</w:t>
            </w:r>
          </w:p>
        </w:tc>
        <w:tc>
          <w:tcPr>
            <w:tcW w:w="3377" w:type="dxa"/>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楷体" w:cs="Times New Roman"/>
                <w:kern w:val="0"/>
                <w:sz w:val="24"/>
                <w:lang w:bidi="ar"/>
              </w:rPr>
            </w:pPr>
            <w:r>
              <w:rPr>
                <w:rFonts w:hint="default" w:ascii="Times New Roman" w:hAnsi="Times New Roman" w:eastAsia="楷体" w:cs="Times New Roman"/>
                <w:kern w:val="0"/>
                <w:sz w:val="24"/>
                <w:lang w:bidi="ar"/>
              </w:rPr>
              <w:t>1.申请人无正当理由逾期不补正、行政机关不再处理其政府信息公开申请</w:t>
            </w:r>
          </w:p>
        </w:tc>
        <w:tc>
          <w:tcPr>
            <w:tcW w:w="456" w:type="dxa"/>
            <w:tcBorders>
              <w:lef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Borders>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Borders>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楷体" w:cs="Times New Roman"/>
                <w:kern w:val="0"/>
                <w:sz w:val="24"/>
                <w:lang w:bidi="ar"/>
              </w:rPr>
            </w:pPr>
          </w:p>
        </w:tc>
        <w:tc>
          <w:tcPr>
            <w:tcW w:w="3377" w:type="dxa"/>
            <w:tcBorders>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楷体" w:cs="Times New Roman"/>
                <w:kern w:val="0"/>
                <w:sz w:val="24"/>
                <w:lang w:bidi="ar"/>
              </w:rPr>
            </w:pPr>
            <w:r>
              <w:rPr>
                <w:rFonts w:hint="default" w:ascii="Times New Roman" w:hAnsi="Times New Roman" w:eastAsia="楷体" w:cs="Times New Roman"/>
                <w:kern w:val="0"/>
                <w:sz w:val="24"/>
                <w:lang w:bidi="ar"/>
              </w:rPr>
              <w:t>2.申请人逾期未按收费通知要求缴纳费用、行政机关不再处理其政府信息公开申请</w:t>
            </w:r>
          </w:p>
        </w:tc>
        <w:tc>
          <w:tcPr>
            <w:tcW w:w="456" w:type="dxa"/>
            <w:tcBorders>
              <w:lef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Borders>
              <w:right w:val="single" w:color="auto" w:sz="4" w:space="0"/>
            </w:tcBorders>
            <w:tcMar>
              <w:left w:w="108" w:type="dxa"/>
              <w:right w:w="108" w:type="dxa"/>
            </w:tcMar>
            <w:vAlign w:val="center"/>
          </w:tcPr>
          <w:p>
            <w:pPr>
              <w:spacing w:line="260" w:lineRule="exact"/>
              <w:rPr>
                <w:rFonts w:hint="default" w:ascii="Times New Roman" w:hAnsi="Times New Roman" w:cs="Times New Roman"/>
                <w:sz w:val="24"/>
              </w:rPr>
            </w:pPr>
          </w:p>
        </w:tc>
        <w:tc>
          <w:tcPr>
            <w:tcW w:w="936" w:type="dxa"/>
            <w:vMerge w:val="continue"/>
            <w:tcBorders>
              <w:left w:val="single" w:color="auto" w:sz="4" w:space="0"/>
              <w:bottom w:val="single" w:color="auto" w:sz="4" w:space="0"/>
              <w:right w:val="single" w:color="auto" w:sz="4" w:space="0"/>
            </w:tcBorders>
            <w:tcMar>
              <w:left w:w="108" w:type="dxa"/>
              <w:right w:w="108" w:type="dxa"/>
            </w:tcMar>
            <w:vAlign w:val="center"/>
          </w:tcPr>
          <w:p>
            <w:pPr>
              <w:widowControl/>
              <w:spacing w:after="144" w:line="260" w:lineRule="exact"/>
              <w:jc w:val="left"/>
              <w:rPr>
                <w:rFonts w:hint="default" w:ascii="Times New Roman" w:hAnsi="Times New Roman" w:eastAsia="楷体" w:cs="Times New Roman"/>
                <w:kern w:val="0"/>
                <w:sz w:val="24"/>
                <w:lang w:bidi="ar"/>
              </w:rPr>
            </w:pPr>
          </w:p>
        </w:tc>
        <w:tc>
          <w:tcPr>
            <w:tcW w:w="3377" w:type="dxa"/>
            <w:tcBorders>
              <w:left w:val="single" w:color="auto" w:sz="4" w:space="0"/>
              <w:bottom w:val="single" w:color="auto" w:sz="4" w:space="0"/>
              <w:right w:val="single" w:color="auto" w:sz="4" w:space="0"/>
            </w:tcBorders>
            <w:tcMar>
              <w:left w:w="108" w:type="dxa"/>
              <w:right w:w="108" w:type="dxa"/>
            </w:tcMar>
            <w:vAlign w:val="center"/>
          </w:tcPr>
          <w:p>
            <w:pPr>
              <w:widowControl/>
              <w:spacing w:after="144" w:line="260" w:lineRule="exact"/>
              <w:jc w:val="left"/>
              <w:rPr>
                <w:rFonts w:hint="default" w:ascii="Times New Roman" w:hAnsi="Times New Roman" w:eastAsia="楷体" w:cs="Times New Roman"/>
                <w:kern w:val="0"/>
                <w:sz w:val="24"/>
                <w:lang w:bidi="ar"/>
              </w:rPr>
            </w:pPr>
            <w:r>
              <w:rPr>
                <w:rFonts w:hint="default" w:ascii="Times New Roman" w:hAnsi="Times New Roman" w:eastAsia="楷体" w:cs="Times New Roman"/>
                <w:kern w:val="0"/>
                <w:sz w:val="24"/>
                <w:lang w:bidi="ar"/>
              </w:rPr>
              <w:t>3.其他</w:t>
            </w:r>
          </w:p>
        </w:tc>
        <w:tc>
          <w:tcPr>
            <w:tcW w:w="456" w:type="dxa"/>
            <w:tcBorders>
              <w:left w:val="single" w:color="auto" w:sz="4" w:space="0"/>
            </w:tcBorders>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706"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465"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456"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spacing w:line="260" w:lineRule="exact"/>
              <w:rPr>
                <w:rFonts w:hint="default" w:ascii="Times New Roman" w:hAnsi="Times New Roman" w:cs="Times New Roman"/>
                <w:sz w:val="24"/>
              </w:rPr>
            </w:pPr>
          </w:p>
        </w:tc>
        <w:tc>
          <w:tcPr>
            <w:tcW w:w="4313" w:type="dxa"/>
            <w:gridSpan w:val="2"/>
            <w:tcBorders>
              <w:top w:val="single" w:color="auto" w:sz="4" w:space="0"/>
            </w:tcBorders>
            <w:tcMar>
              <w:left w:w="108" w:type="dxa"/>
              <w:right w:w="108" w:type="dxa"/>
            </w:tcMar>
            <w:vAlign w:val="center"/>
          </w:tcPr>
          <w:p>
            <w:pPr>
              <w:widowControl/>
              <w:spacing w:after="144" w:line="260" w:lineRule="exact"/>
              <w:jc w:val="left"/>
              <w:rPr>
                <w:rFonts w:hint="default" w:ascii="Times New Roman" w:hAnsi="Times New Roman" w:cs="Times New Roman"/>
                <w:sz w:val="24"/>
              </w:rPr>
            </w:pPr>
            <w:r>
              <w:rPr>
                <w:rFonts w:hint="default" w:ascii="Times New Roman" w:hAnsi="Times New Roman" w:eastAsia="楷体" w:cs="Times New Roman"/>
                <w:kern w:val="0"/>
                <w:sz w:val="24"/>
                <w:lang w:bidi="ar"/>
              </w:rPr>
              <w:t>（七）总计</w:t>
            </w:r>
          </w:p>
        </w:tc>
        <w:tc>
          <w:tcPr>
            <w:tcW w:w="45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010" w:type="dxa"/>
            <w:gridSpan w:val="3"/>
            <w:tcMar>
              <w:left w:w="108" w:type="dxa"/>
              <w:right w:w="108" w:type="dxa"/>
            </w:tcMar>
            <w:vAlign w:val="center"/>
          </w:tcPr>
          <w:p>
            <w:pPr>
              <w:widowControl/>
              <w:spacing w:after="144" w:line="260" w:lineRule="exact"/>
              <w:jc w:val="left"/>
              <w:rPr>
                <w:rFonts w:hint="default" w:ascii="Times New Roman" w:hAnsi="Times New Roman" w:cs="Times New Roman"/>
                <w:sz w:val="24"/>
              </w:rPr>
            </w:pPr>
            <w:r>
              <w:rPr>
                <w:rFonts w:hint="default" w:ascii="Times New Roman" w:hAnsi="Times New Roman" w:cs="Times New Roman"/>
                <w:kern w:val="0"/>
                <w:sz w:val="24"/>
                <w:lang w:bidi="ar"/>
              </w:rPr>
              <w:t>四、结转下年度继续办理</w:t>
            </w:r>
          </w:p>
        </w:tc>
        <w:tc>
          <w:tcPr>
            <w:tcW w:w="45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r>
    </w:tbl>
    <w:p>
      <w:pPr>
        <w:spacing w:line="560" w:lineRule="exact"/>
        <w:ind w:firstLine="636" w:firstLineChars="19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695"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行政复议</w:t>
            </w:r>
          </w:p>
        </w:tc>
        <w:tc>
          <w:tcPr>
            <w:tcW w:w="5732" w:type="dxa"/>
            <w:gridSpan w:val="1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结果维持</w:t>
            </w:r>
          </w:p>
        </w:tc>
        <w:tc>
          <w:tcPr>
            <w:tcW w:w="85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结果纠正</w:t>
            </w:r>
          </w:p>
        </w:tc>
        <w:tc>
          <w:tcPr>
            <w:tcW w:w="8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其他结果</w:t>
            </w:r>
          </w:p>
        </w:tc>
        <w:tc>
          <w:tcPr>
            <w:tcW w:w="70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尚未审结</w:t>
            </w: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总计</w:t>
            </w:r>
          </w:p>
        </w:tc>
        <w:tc>
          <w:tcPr>
            <w:tcW w:w="3368"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未经复议直接起诉</w:t>
            </w:r>
          </w:p>
        </w:tc>
        <w:tc>
          <w:tcPr>
            <w:tcW w:w="2364"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p>
        </w:tc>
        <w:tc>
          <w:tcPr>
            <w:tcW w:w="851"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p>
        </w:tc>
        <w:tc>
          <w:tcPr>
            <w:tcW w:w="8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p>
        </w:tc>
        <w:tc>
          <w:tcPr>
            <w:tcW w:w="70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p>
        </w:tc>
        <w:tc>
          <w:tcPr>
            <w:tcW w:w="45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结果维持</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结果纠正</w:t>
            </w:r>
          </w:p>
        </w:tc>
        <w:tc>
          <w:tcPr>
            <w:tcW w:w="71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其他结果</w:t>
            </w:r>
          </w:p>
        </w:tc>
        <w:tc>
          <w:tcPr>
            <w:tcW w:w="78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尚未审结</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总计</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结果维持</w:t>
            </w:r>
          </w:p>
        </w:tc>
        <w:tc>
          <w:tcPr>
            <w:tcW w:w="5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结果纠正</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其他结果</w:t>
            </w:r>
          </w:p>
        </w:tc>
        <w:tc>
          <w:tcPr>
            <w:tcW w:w="46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尚未审结</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85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8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71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78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5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6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56" w:type="dxa"/>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r>
    </w:tbl>
    <w:p>
      <w:pPr>
        <w:spacing w:line="560" w:lineRule="exact"/>
        <w:ind w:firstLine="636" w:firstLineChars="19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i w:val="0"/>
          <w:caps w:val="0"/>
          <w:color w:val="414141"/>
          <w:spacing w:val="0"/>
          <w:sz w:val="32"/>
          <w:szCs w:val="32"/>
          <w:shd w:val="clear" w:color="auto" w:fill="FFFFFF"/>
        </w:rPr>
      </w:pPr>
      <w:r>
        <w:rPr>
          <w:rFonts w:hint="eastAsia" w:ascii="仿宋_GB2312" w:hAnsi="仿宋_GB2312" w:eastAsia="仿宋_GB2312" w:cs="仿宋_GB2312"/>
          <w:b/>
          <w:bCs/>
          <w:i w:val="0"/>
          <w:caps w:val="0"/>
          <w:color w:val="414141"/>
          <w:spacing w:val="0"/>
          <w:sz w:val="32"/>
          <w:szCs w:val="32"/>
          <w:shd w:val="clear" w:color="auto" w:fill="FFFFFF"/>
          <w:lang w:val="en-US" w:eastAsia="zh-CN"/>
        </w:rPr>
        <w:t>存在问题：</w:t>
      </w:r>
      <w:r>
        <w:rPr>
          <w:rFonts w:hint="eastAsia" w:ascii="仿宋_GB2312" w:hAnsi="仿宋_GB2312" w:eastAsia="仿宋_GB2312" w:cs="仿宋_GB2312"/>
          <w:b w:val="0"/>
          <w:bCs w:val="0"/>
          <w:i w:val="0"/>
          <w:caps w:val="0"/>
          <w:color w:val="414141"/>
          <w:spacing w:val="0"/>
          <w:sz w:val="32"/>
          <w:szCs w:val="32"/>
          <w:shd w:val="clear" w:color="auto" w:fill="FFFFFF"/>
          <w:lang w:val="en-US" w:eastAsia="zh-CN"/>
        </w:rPr>
        <w:t>一</w:t>
      </w:r>
      <w:r>
        <w:rPr>
          <w:rFonts w:hint="eastAsia" w:ascii="Times New Roman" w:hAnsi="Times New Roman" w:eastAsia="仿宋_GB2312" w:cs="Times New Roman"/>
          <w:b w:val="0"/>
          <w:bCs w:val="0"/>
          <w:color w:val="auto"/>
          <w:kern w:val="2"/>
          <w:sz w:val="32"/>
          <w:szCs w:val="32"/>
          <w:shd w:val="clear" w:color="auto" w:fill="auto"/>
          <w:lang w:val="en-US" w:eastAsia="zh-CN" w:bidi="ar-SA"/>
        </w:rPr>
        <w:t>是政府信息公开主动性不够强，及时性不够，对一些公开的信息存在遗漏的现象。二是信息公开有的栏目公开事项少，如：工作动态较多，其他公开重视程度不够，导致公开内容较少。</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i w:val="0"/>
          <w:caps w:val="0"/>
          <w:color w:val="414141"/>
          <w:spacing w:val="0"/>
          <w:sz w:val="32"/>
          <w:szCs w:val="32"/>
          <w:shd w:val="clear" w:color="auto" w:fill="FFFFFF"/>
          <w:lang w:val="en-US"/>
        </w:rPr>
      </w:pPr>
      <w:r>
        <w:rPr>
          <w:rFonts w:hint="eastAsia" w:ascii="仿宋_GB2312" w:hAnsi="仿宋_GB2312" w:eastAsia="仿宋_GB2312" w:cs="仿宋_GB2312"/>
          <w:b/>
          <w:bCs/>
          <w:i w:val="0"/>
          <w:caps w:val="0"/>
          <w:color w:val="414141"/>
          <w:spacing w:val="0"/>
          <w:sz w:val="32"/>
          <w:szCs w:val="32"/>
          <w:shd w:val="clear" w:color="auto" w:fill="FFFFFF"/>
          <w:lang w:val="en-US" w:eastAsia="zh-CN"/>
        </w:rPr>
        <w:t>改进情况：</w:t>
      </w:r>
      <w:r>
        <w:rPr>
          <w:rFonts w:hint="eastAsia" w:ascii="仿宋_GB2312" w:hAnsi="仿宋_GB2312" w:eastAsia="仿宋_GB2312" w:cs="仿宋_GB2312"/>
          <w:b w:val="0"/>
          <w:bCs w:val="0"/>
          <w:i w:val="0"/>
          <w:caps w:val="0"/>
          <w:color w:val="414141"/>
          <w:spacing w:val="0"/>
          <w:sz w:val="32"/>
          <w:szCs w:val="32"/>
          <w:shd w:val="clear" w:color="auto" w:fill="FFFFFF"/>
          <w:lang w:val="en-US" w:eastAsia="zh-CN"/>
        </w:rPr>
        <w:t>一是不断强化对信息员的理论培训和业务培训。二是紧紧围绕实施政府信息公开工作，多渠道、多形式，向社会和广大群众深入宣传政府信息公开工作，努力在我乡形成群众积极关心政府信息公开的社会氛围。三是进一步完善政府信息公开各项规章制度，形成以制度管人、以制度谋事的长效机制，进一步规范政府信息公开工作。</w:t>
      </w:r>
    </w:p>
    <w:p>
      <w:pPr>
        <w:spacing w:line="560" w:lineRule="exact"/>
        <w:ind w:firstLine="636" w:firstLineChars="19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i w:val="0"/>
          <w:caps w:val="0"/>
          <w:color w:val="414141"/>
          <w:spacing w:val="0"/>
          <w:sz w:val="32"/>
          <w:szCs w:val="32"/>
          <w:shd w:val="clear" w:color="auto" w:fill="FFFFFF"/>
          <w:lang w:val="en-US" w:eastAsia="zh-CN"/>
        </w:rPr>
      </w:pPr>
      <w:r>
        <w:rPr>
          <w:rFonts w:hint="eastAsia" w:ascii="仿宋_GB2312" w:hAnsi="仿宋_GB2312" w:eastAsia="仿宋_GB2312" w:cs="仿宋_GB2312"/>
          <w:b w:val="0"/>
          <w:bCs w:val="0"/>
          <w:i w:val="0"/>
          <w:caps w:val="0"/>
          <w:color w:val="414141"/>
          <w:spacing w:val="0"/>
          <w:sz w:val="32"/>
          <w:szCs w:val="32"/>
          <w:shd w:val="clear" w:color="auto" w:fill="FFFFFF"/>
          <w:lang w:val="en-US" w:eastAsia="zh-CN"/>
        </w:rPr>
        <w:t>本年度无收取信息处理费情况及其他需要报告事项。</w:t>
      </w:r>
    </w:p>
    <w:p>
      <w:pPr>
        <w:rPr>
          <w:rFonts w:hint="eastAsia"/>
          <w:lang w:val="en-US" w:eastAsia="zh-CN"/>
        </w:rPr>
      </w:pPr>
    </w:p>
    <w:p>
      <w:pPr>
        <w:pStyle w:val="2"/>
        <w:pageBreakBefore w:val="0"/>
        <w:widowControl w:val="0"/>
        <w:kinsoku/>
        <w:wordWrap/>
        <w:overflowPunct/>
        <w:topLinePunct w:val="0"/>
        <w:autoSpaceDE/>
        <w:autoSpaceDN/>
        <w:bidi w:val="0"/>
        <w:adjustRightInd/>
        <w:snapToGrid/>
        <w:spacing w:after="0" w:afterAutospacing="0" w:line="560" w:lineRule="exact"/>
        <w:jc w:val="center"/>
        <w:textAlignment w:val="auto"/>
        <w:rPr>
          <w:rFonts w:hint="eastAsia" w:ascii="仿宋_GB2312" w:hAnsi="仿宋_GB2312" w:eastAsia="仿宋_GB2312" w:cs="仿宋_GB2312"/>
          <w:b w:val="0"/>
          <w:bCs w:val="0"/>
          <w:i w:val="0"/>
          <w:caps w:val="0"/>
          <w:color w:val="414141"/>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414141"/>
          <w:spacing w:val="0"/>
          <w:kern w:val="0"/>
          <w:sz w:val="32"/>
          <w:szCs w:val="32"/>
          <w:shd w:val="clear" w:color="auto" w:fill="FFFFFF"/>
          <w:lang w:val="en-US" w:eastAsia="zh-CN" w:bidi="ar-SA"/>
        </w:rPr>
        <w:t xml:space="preserve">                    阿合奇县哈拉布拉克乡人民政府</w:t>
      </w:r>
    </w:p>
    <w:p>
      <w:pPr>
        <w:pStyle w:val="2"/>
        <w:pageBreakBefore w:val="0"/>
        <w:widowControl w:val="0"/>
        <w:kinsoku/>
        <w:wordWrap/>
        <w:overflowPunct/>
        <w:topLinePunct w:val="0"/>
        <w:autoSpaceDE/>
        <w:autoSpaceDN/>
        <w:bidi w:val="0"/>
        <w:adjustRightInd/>
        <w:snapToGrid/>
        <w:spacing w:before="0" w:beforeAutospacing="0" w:after="0" w:line="240" w:lineRule="auto"/>
        <w:jc w:val="center"/>
        <w:textAlignment w:val="auto"/>
        <w:rPr>
          <w:rFonts w:hint="default" w:ascii="仿宋_GB2312" w:hAnsi="仿宋_GB2312" w:eastAsia="仿宋_GB2312" w:cs="仿宋_GB2312"/>
          <w:b w:val="0"/>
          <w:bCs w:val="0"/>
          <w:i w:val="0"/>
          <w:caps w:val="0"/>
          <w:color w:val="414141"/>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414141"/>
          <w:spacing w:val="0"/>
          <w:kern w:val="0"/>
          <w:sz w:val="32"/>
          <w:szCs w:val="32"/>
          <w:shd w:val="clear" w:color="auto" w:fill="FFFFFF"/>
          <w:lang w:val="en-US" w:eastAsia="zh-CN" w:bidi="ar-SA"/>
        </w:rPr>
        <w:t xml:space="preserve">  </w:t>
      </w:r>
      <w:bookmarkStart w:id="0" w:name="_GoBack"/>
      <w:bookmarkEnd w:id="0"/>
      <w:r>
        <w:rPr>
          <w:rFonts w:hint="eastAsia" w:ascii="仿宋_GB2312" w:hAnsi="仿宋_GB2312" w:eastAsia="仿宋_GB2312" w:cs="仿宋_GB2312"/>
          <w:b w:val="0"/>
          <w:bCs w:val="0"/>
          <w:i w:val="0"/>
          <w:caps w:val="0"/>
          <w:color w:val="414141"/>
          <w:spacing w:val="0"/>
          <w:kern w:val="0"/>
          <w:sz w:val="32"/>
          <w:szCs w:val="32"/>
          <w:shd w:val="clear" w:color="auto" w:fill="FFFFFF"/>
          <w:lang w:val="en-US" w:eastAsia="zh-CN" w:bidi="ar-SA"/>
        </w:rPr>
        <w:t xml:space="preserve">                  2022年1月7日</w:t>
      </w:r>
    </w:p>
    <w:p>
      <w:pPr>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i w:val="0"/>
          <w:caps w:val="0"/>
          <w:color w:val="414141"/>
          <w:spacing w:val="0"/>
          <w:kern w:val="0"/>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62715"/>
    <w:rsid w:val="2A272B7F"/>
    <w:rsid w:val="3BD5739B"/>
    <w:rsid w:val="578C1E22"/>
    <w:rsid w:val="5DA90860"/>
    <w:rsid w:val="60DB0F29"/>
    <w:rsid w:val="62485F0B"/>
    <w:rsid w:val="6469770F"/>
    <w:rsid w:val="7077272B"/>
    <w:rsid w:val="F9FB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110</dc:creator>
  <cp:lastModifiedBy>Administrator</cp:lastModifiedBy>
  <cp:lastPrinted>2022-01-14T17:22:00Z</cp:lastPrinted>
  <dcterms:modified xsi:type="dcterms:W3CDTF">2022-01-28T04:43:56Z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