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hint="default" w:ascii="Times New Roman" w:hAnsi="Times New Roman" w:eastAsia="楷体" w:cs="Times New Roman"/>
          <w:snapToGrid w:val="0"/>
          <w:spacing w:val="-6"/>
          <w:sz w:val="32"/>
          <w:szCs w:val="32"/>
        </w:rPr>
      </w:pPr>
    </w:p>
    <w:p>
      <w:pPr>
        <w:spacing w:line="604" w:lineRule="exact"/>
        <w:jc w:val="center"/>
        <w:rPr>
          <w:rFonts w:hint="default" w:ascii="Times New Roman" w:hAnsi="Times New Roman" w:eastAsia="方正小标宋简体" w:cs="Times New Roman"/>
          <w:snapToGrid w:val="0"/>
          <w:spacing w:val="-6"/>
          <w:sz w:val="44"/>
          <w:szCs w:val="44"/>
        </w:rPr>
      </w:pPr>
      <w:r>
        <w:rPr>
          <w:rFonts w:hint="default" w:ascii="Times New Roman" w:hAnsi="Times New Roman" w:eastAsia="方正小标宋简体" w:cs="Times New Roman"/>
          <w:snapToGrid w:val="0"/>
          <w:spacing w:val="-6"/>
          <w:sz w:val="44"/>
          <w:szCs w:val="44"/>
          <w:lang w:val="en-US" w:eastAsia="zh-CN"/>
        </w:rPr>
        <w:t>阿合奇县哈拉布拉克乡人民政府</w:t>
      </w:r>
      <w:r>
        <w:rPr>
          <w:rFonts w:hint="default" w:ascii="Times New Roman" w:hAnsi="Times New Roman" w:eastAsia="方正小标宋简体" w:cs="Times New Roman"/>
          <w:snapToGrid w:val="0"/>
          <w:spacing w:val="-6"/>
          <w:sz w:val="44"/>
          <w:szCs w:val="44"/>
        </w:rPr>
        <w:t>2021年政府信息公开工作年度报告</w:t>
      </w:r>
    </w:p>
    <w:p>
      <w:pPr>
        <w:spacing w:line="604" w:lineRule="exact"/>
        <w:jc w:val="center"/>
        <w:rPr>
          <w:rFonts w:hint="default" w:ascii="Times New Roman" w:hAnsi="Times New Roman" w:eastAsia="方正小标宋简体" w:cs="Times New Roman"/>
          <w:snapToGrid w:val="0"/>
          <w:spacing w:val="-6"/>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color w:val="auto"/>
          <w:spacing w:val="0"/>
          <w:kern w:val="2"/>
          <w:sz w:val="32"/>
          <w:szCs w:val="32"/>
          <w:lang w:val="en-US" w:eastAsia="zh-CN" w:bidi="ar-SA"/>
        </w:rPr>
      </w:pPr>
      <w:r>
        <w:rPr>
          <w:rFonts w:hint="default" w:ascii="Times New Roman" w:hAnsi="Times New Roman" w:eastAsia="仿宋_GB2312" w:cs="Times New Roman"/>
          <w:b w:val="0"/>
          <w:color w:val="auto"/>
          <w:spacing w:val="0"/>
          <w:kern w:val="2"/>
          <w:sz w:val="32"/>
          <w:szCs w:val="32"/>
          <w:lang w:val="en-US" w:eastAsia="zh-CN" w:bidi="ar-SA"/>
        </w:rPr>
        <w:t>根据《中华人民共和国政府信息公开条例》和上级有关文件要求，现向社会公布2021年阿合奇县哈拉布拉克乡人民政府信息公开年度报告。我乡在信息公开工作中充分利用政务公开栏目及时公开各类政策信息，确保群众及时了解政府信息动态，为群众办事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color w:val="auto"/>
          <w:spacing w:val="0"/>
          <w:kern w:val="2"/>
          <w:sz w:val="32"/>
          <w:szCs w:val="32"/>
          <w:lang w:val="en-US" w:eastAsia="zh-CN" w:bidi="ar-SA"/>
        </w:rPr>
      </w:pPr>
      <w:r>
        <w:rPr>
          <w:rFonts w:hint="default" w:ascii="Times New Roman" w:hAnsi="Times New Roman" w:eastAsia="仿宋_GB2312" w:cs="Times New Roman"/>
          <w:b w:val="0"/>
          <w:color w:val="auto"/>
          <w:spacing w:val="0"/>
          <w:kern w:val="2"/>
          <w:sz w:val="32"/>
          <w:szCs w:val="32"/>
          <w:lang w:val="en-US" w:eastAsia="zh-CN" w:bidi="ar-SA"/>
        </w:rPr>
        <w:t>本报告由总体情况、主动公开政府信息情况、收到和处理政府信息公开申请情况、政府信息公开行政复议、行政诉讼情况、存在的主要问题及改进情况以及其他需要报告的事项六个部分组成。报告中所列资料数据的汇总统计期限从2021年1月1日起至2021年12月31日止。本年度报告电子版可在阿合奇县人民政府门户网站(</w:t>
      </w:r>
      <w:r>
        <w:rPr>
          <w:rFonts w:hint="eastAsia" w:ascii="Times New Roman" w:hAnsi="Times New Roman" w:eastAsia="仿宋_GB2312" w:cs="Times New Roman"/>
          <w:b w:val="0"/>
          <w:color w:val="auto"/>
          <w:spacing w:val="0"/>
          <w:kern w:val="2"/>
          <w:sz w:val="32"/>
          <w:szCs w:val="32"/>
          <w:lang w:val="en-US" w:eastAsia="zh-CN" w:bidi="ar-SA"/>
        </w:rPr>
        <w:t>www</w:t>
      </w:r>
      <w:r>
        <w:rPr>
          <w:rFonts w:hint="default" w:ascii="Times New Roman" w:hAnsi="Times New Roman" w:eastAsia="仿宋_GB2312" w:cs="Times New Roman"/>
          <w:b w:val="0"/>
          <w:color w:val="auto"/>
          <w:spacing w:val="0"/>
          <w:kern w:val="2"/>
          <w:sz w:val="32"/>
          <w:szCs w:val="32"/>
          <w:lang w:val="en-US" w:eastAsia="zh-CN" w:bidi="ar-SA"/>
        </w:rPr>
        <w:t>.xjahq.gov.cn)政府信息公开年度报告栏内下载。如对本报告有任何疑问，请与哈拉布拉克乡人民政府办公室联系（地址：阿合奇县哈拉布拉克乡哈拉布拉克村；邮编：843505；电话：0908-5623138；传真：5623138；电子邮箱：</w:t>
      </w:r>
      <w:r>
        <w:rPr>
          <w:rFonts w:hint="default" w:ascii="Times New Roman" w:hAnsi="Times New Roman" w:eastAsia="仿宋_GB2312" w:cs="Times New Roman"/>
          <w:b w:val="0"/>
          <w:color w:val="auto"/>
          <w:spacing w:val="0"/>
          <w:kern w:val="2"/>
          <w:sz w:val="32"/>
          <w:szCs w:val="32"/>
          <w:lang w:val="en-US" w:eastAsia="zh-CN" w:bidi="ar-SA"/>
        </w:rPr>
        <w:fldChar w:fldCharType="begin"/>
      </w:r>
      <w:r>
        <w:rPr>
          <w:rFonts w:hint="default" w:ascii="Times New Roman" w:hAnsi="Times New Roman" w:eastAsia="仿宋_GB2312" w:cs="Times New Roman"/>
          <w:b w:val="0"/>
          <w:color w:val="auto"/>
          <w:spacing w:val="0"/>
          <w:kern w:val="2"/>
          <w:sz w:val="32"/>
          <w:szCs w:val="32"/>
          <w:lang w:val="en-US" w:eastAsia="zh-CN" w:bidi="ar-SA"/>
        </w:rPr>
        <w:instrText xml:space="preserve"> HYPERLINK "mailto:ahqhlblk@163.com）。" </w:instrText>
      </w:r>
      <w:r>
        <w:rPr>
          <w:rFonts w:hint="default" w:ascii="Times New Roman" w:hAnsi="Times New Roman" w:eastAsia="仿宋_GB2312" w:cs="Times New Roman"/>
          <w:b w:val="0"/>
          <w:color w:val="auto"/>
          <w:spacing w:val="0"/>
          <w:kern w:val="2"/>
          <w:sz w:val="32"/>
          <w:szCs w:val="32"/>
          <w:lang w:val="en-US" w:eastAsia="zh-CN" w:bidi="ar-SA"/>
        </w:rPr>
        <w:fldChar w:fldCharType="separate"/>
      </w:r>
      <w:r>
        <w:rPr>
          <w:rFonts w:hint="default" w:ascii="Times New Roman" w:hAnsi="Times New Roman" w:eastAsia="仿宋_GB2312" w:cs="Times New Roman"/>
          <w:b w:val="0"/>
          <w:color w:val="auto"/>
          <w:spacing w:val="0"/>
          <w:kern w:val="2"/>
          <w:sz w:val="32"/>
          <w:szCs w:val="32"/>
          <w:lang w:val="en-US" w:eastAsia="zh-CN" w:bidi="ar-SA"/>
        </w:rPr>
        <w:t>ahqhlblk@163.com）。</w:t>
      </w:r>
      <w:r>
        <w:rPr>
          <w:rFonts w:hint="default" w:ascii="Times New Roman" w:hAnsi="Times New Roman" w:eastAsia="仿宋_GB2312" w:cs="Times New Roman"/>
          <w:b w:val="0"/>
          <w:color w:val="auto"/>
          <w:spacing w:val="0"/>
          <w:kern w:val="2"/>
          <w:sz w:val="32"/>
          <w:szCs w:val="32"/>
          <w:lang w:val="en-US" w:eastAsia="zh-CN" w:bidi="ar-SA"/>
        </w:rPr>
        <w:fldChar w:fldCharType="end"/>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黑体" w:cs="Times New Roman"/>
          <w:snapToGrid w:val="0"/>
          <w:spacing w:val="-6"/>
          <w:sz w:val="32"/>
          <w:szCs w:val="32"/>
        </w:rPr>
      </w:pPr>
      <w:r>
        <w:rPr>
          <w:rFonts w:hint="default" w:ascii="Times New Roman" w:hAnsi="Times New Roman" w:eastAsia="黑体" w:cs="Times New Roman"/>
          <w:snapToGrid w:val="0"/>
          <w:spacing w:val="-6"/>
          <w:sz w:val="32"/>
          <w:szCs w:val="32"/>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color w:val="auto"/>
          <w:kern w:val="2"/>
          <w:sz w:val="32"/>
          <w:szCs w:val="32"/>
          <w:shd w:val="clear" w:color="auto" w:fill="auto"/>
          <w:lang w:val="en-US" w:eastAsia="zh-CN" w:bidi="ar-SA"/>
        </w:rPr>
      </w:pPr>
      <w:r>
        <w:rPr>
          <w:rFonts w:hint="default" w:ascii="Times New Roman" w:hAnsi="Times New Roman" w:eastAsia="仿宋_GB2312" w:cs="Times New Roman"/>
          <w:b w:val="0"/>
          <w:color w:val="auto"/>
          <w:kern w:val="2"/>
          <w:sz w:val="32"/>
          <w:szCs w:val="32"/>
          <w:shd w:val="clear" w:color="auto" w:fill="auto"/>
          <w:lang w:val="en-US" w:eastAsia="zh-CN" w:bidi="ar-SA"/>
        </w:rPr>
        <w:t>2021年我乡紧紧围绕县委、县政府决策部署和2021年哈拉布拉克乡全年工作目标，及时将落实措施及执行情况向社会公开。重点公开涉及群众切身利益、需要群众广泛知晓的事项以及法律法规规定需要公开的其他事项。同时加强对党务、政务、村务公开的监督检查。把公开透明的要求贯穿于政务服务各个环节，以公开促进政务服务水平的提高，创造条件保障人民群众更好的了解和监督乡政府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color w:val="auto"/>
          <w:kern w:val="2"/>
          <w:sz w:val="32"/>
          <w:szCs w:val="32"/>
          <w:shd w:val="clear" w:color="auto" w:fill="auto"/>
          <w:lang w:val="en-US" w:eastAsia="zh-CN" w:bidi="ar-SA"/>
        </w:rPr>
      </w:pPr>
      <w:r>
        <w:rPr>
          <w:rFonts w:hint="default" w:ascii="Times New Roman" w:hAnsi="Times New Roman" w:eastAsia="仿宋_GB2312" w:cs="Times New Roman"/>
          <w:b w:val="0"/>
          <w:color w:val="auto"/>
          <w:kern w:val="2"/>
          <w:sz w:val="32"/>
          <w:szCs w:val="32"/>
          <w:shd w:val="clear" w:color="auto" w:fill="auto"/>
          <w:lang w:val="en-US" w:eastAsia="zh-CN" w:bidi="ar-SA"/>
        </w:rPr>
        <w:t>（一）主动公开政府信息情况。2021年，哈拉布拉克乡人民政府</w:t>
      </w:r>
      <w:r>
        <w:rPr>
          <w:rFonts w:hint="eastAsia" w:ascii="Times New Roman" w:hAnsi="Times New Roman" w:eastAsia="仿宋_GB2312" w:cs="Times New Roman"/>
          <w:b w:val="0"/>
          <w:color w:val="auto"/>
          <w:kern w:val="2"/>
          <w:sz w:val="32"/>
          <w:szCs w:val="32"/>
          <w:shd w:val="clear" w:color="auto" w:fill="auto"/>
          <w:lang w:val="en-US" w:eastAsia="zh-CN" w:bidi="ar-SA"/>
        </w:rPr>
        <w:t>在</w:t>
      </w:r>
      <w:r>
        <w:rPr>
          <w:rFonts w:hint="default" w:ascii="Times New Roman" w:hAnsi="Times New Roman" w:eastAsia="仿宋_GB2312" w:cs="Times New Roman"/>
          <w:b w:val="0"/>
          <w:color w:val="auto"/>
          <w:kern w:val="2"/>
          <w:sz w:val="32"/>
          <w:szCs w:val="32"/>
          <w:shd w:val="clear" w:color="auto" w:fill="auto"/>
          <w:lang w:val="en-US" w:eastAsia="zh-CN" w:bidi="ar-SA"/>
        </w:rPr>
        <w:t>网站主动公开信息26条，其中领导变更1条、政府公文1条，通知公告1条，政策解读1条、其他类信息22条。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color w:val="auto"/>
          <w:kern w:val="2"/>
          <w:sz w:val="32"/>
          <w:szCs w:val="32"/>
          <w:shd w:val="clear" w:color="auto" w:fill="auto"/>
          <w:lang w:val="en-US" w:eastAsia="zh-CN" w:bidi="ar-SA"/>
        </w:rPr>
      </w:pPr>
      <w:r>
        <w:rPr>
          <w:rFonts w:hint="default" w:ascii="Times New Roman" w:hAnsi="Times New Roman" w:eastAsia="仿宋_GB2312" w:cs="Times New Roman"/>
          <w:b w:val="0"/>
          <w:color w:val="auto"/>
          <w:kern w:val="2"/>
          <w:sz w:val="32"/>
          <w:szCs w:val="32"/>
          <w:shd w:val="clear" w:color="auto" w:fill="auto"/>
          <w:lang w:val="en-US" w:eastAsia="zh-CN" w:bidi="ar-SA"/>
        </w:rPr>
        <w:t>（二）依申请公开政府信息情况。2021年，我乡未收到依申请公开政府信息申请件。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default" w:ascii="Times New Roman" w:hAnsi="Times New Roman" w:eastAsia="仿宋_GB2312" w:cs="Times New Roman"/>
          <w:b w:val="0"/>
          <w:color w:val="auto"/>
          <w:kern w:val="2"/>
          <w:sz w:val="32"/>
          <w:szCs w:val="32"/>
          <w:shd w:val="clear" w:color="auto" w:fill="auto"/>
          <w:lang w:val="en-US" w:eastAsia="zh-CN" w:bidi="ar-SA"/>
        </w:rPr>
      </w:pPr>
      <w:r>
        <w:rPr>
          <w:rFonts w:hint="default" w:ascii="Times New Roman" w:hAnsi="Times New Roman" w:eastAsia="仿宋_GB2312" w:cs="Times New Roman"/>
          <w:b w:val="0"/>
          <w:color w:val="auto"/>
          <w:kern w:val="2"/>
          <w:sz w:val="32"/>
          <w:szCs w:val="32"/>
          <w:shd w:val="clear" w:color="auto" w:fill="auto"/>
          <w:lang w:val="en-US" w:eastAsia="zh-CN" w:bidi="ar-SA"/>
        </w:rPr>
        <w:t>（三）政府信息管理情况。坚持“公开为常态、不公开为例外”，不断拓宽主动公开内容，推进重点领域信息公开，明确公开事项受理、审查和处理工作程序，向群众公开办事程序、决策过程和办事结果，着力打造优质、便捷、高效的政务环境，保障人民群众的知情权、参与权、表达权和监督权。</w:t>
      </w:r>
      <w:r>
        <w:rPr>
          <w:rFonts w:hint="eastAsia" w:ascii="仿宋_GB2312" w:eastAsia="仿宋_GB2312" w:cs="Times New Roman"/>
          <w:color w:val="auto"/>
          <w:spacing w:val="0"/>
          <w:sz w:val="32"/>
          <w:szCs w:val="32"/>
          <w:lang w:val="en-US" w:eastAsia="zh-CN"/>
        </w:rPr>
        <w:t>严格落实政府信息保密审查制度</w:t>
      </w:r>
      <w:r>
        <w:rPr>
          <w:rFonts w:hint="eastAsia" w:ascii="仿宋_GB2312" w:eastAsia="仿宋_GB2312" w:cs="Times New Roman"/>
          <w:color w:val="auto"/>
          <w:spacing w:val="0"/>
          <w:sz w:val="32"/>
          <w:szCs w:val="32"/>
        </w:rPr>
        <w:t>，政</w:t>
      </w:r>
      <w:r>
        <w:rPr>
          <w:rFonts w:hint="eastAsia" w:ascii="仿宋_GB2312" w:eastAsia="仿宋_GB2312" w:cs="Times New Roman"/>
          <w:color w:val="auto"/>
          <w:spacing w:val="0"/>
          <w:sz w:val="32"/>
          <w:szCs w:val="32"/>
          <w:lang w:val="en-US" w:eastAsia="zh-CN"/>
        </w:rPr>
        <w:t>府</w:t>
      </w:r>
      <w:r>
        <w:rPr>
          <w:rFonts w:hint="eastAsia" w:ascii="仿宋_GB2312" w:eastAsia="仿宋_GB2312" w:cs="Times New Roman"/>
          <w:color w:val="auto"/>
          <w:spacing w:val="0"/>
          <w:sz w:val="32"/>
          <w:szCs w:val="32"/>
        </w:rPr>
        <w:t>信息公开前，进行</w:t>
      </w:r>
      <w:r>
        <w:rPr>
          <w:rFonts w:hint="eastAsia" w:ascii="仿宋_GB2312" w:eastAsia="仿宋_GB2312" w:cs="Times New Roman"/>
          <w:color w:val="auto"/>
          <w:spacing w:val="0"/>
          <w:sz w:val="32"/>
          <w:szCs w:val="32"/>
          <w:lang w:val="en-US" w:eastAsia="zh-CN"/>
        </w:rPr>
        <w:t>“三审三校”，</w:t>
      </w:r>
      <w:r>
        <w:rPr>
          <w:rFonts w:hint="eastAsia" w:ascii="仿宋_GB2312" w:eastAsia="仿宋_GB2312" w:cs="Times New Roman"/>
          <w:color w:val="auto"/>
          <w:spacing w:val="0"/>
          <w:sz w:val="32"/>
          <w:szCs w:val="32"/>
        </w:rPr>
        <w:t>审核</w:t>
      </w:r>
      <w:r>
        <w:rPr>
          <w:rFonts w:hint="eastAsia" w:ascii="仿宋_GB2312" w:eastAsia="仿宋_GB2312" w:cs="Times New Roman"/>
          <w:color w:val="auto"/>
          <w:spacing w:val="0"/>
          <w:sz w:val="32"/>
          <w:szCs w:val="32"/>
          <w:lang w:val="en-US" w:eastAsia="zh-CN"/>
        </w:rPr>
        <w:t>通过</w:t>
      </w:r>
      <w:r>
        <w:rPr>
          <w:rFonts w:hint="eastAsia" w:ascii="仿宋_GB2312" w:eastAsia="仿宋_GB2312" w:cs="Times New Roman"/>
          <w:color w:val="auto"/>
          <w:spacing w:val="0"/>
          <w:sz w:val="32"/>
          <w:szCs w:val="32"/>
        </w:rPr>
        <w:t>后，</w:t>
      </w:r>
      <w:r>
        <w:rPr>
          <w:rFonts w:hint="eastAsia" w:ascii="仿宋_GB2312" w:eastAsia="仿宋_GB2312" w:cs="Times New Roman"/>
          <w:color w:val="auto"/>
          <w:spacing w:val="0"/>
          <w:sz w:val="32"/>
          <w:szCs w:val="32"/>
          <w:lang w:val="en-US" w:eastAsia="zh-CN"/>
        </w:rPr>
        <w:t>在网站对应栏目进行</w:t>
      </w:r>
      <w:r>
        <w:rPr>
          <w:rFonts w:hint="eastAsia" w:ascii="仿宋_GB2312" w:eastAsia="仿宋_GB2312" w:cs="Times New Roman"/>
          <w:color w:val="auto"/>
          <w:spacing w:val="0"/>
          <w:sz w:val="32"/>
          <w:szCs w:val="32"/>
        </w:rPr>
        <w:t>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color w:val="auto"/>
          <w:kern w:val="2"/>
          <w:sz w:val="32"/>
          <w:szCs w:val="32"/>
          <w:shd w:val="clear" w:color="auto" w:fill="auto"/>
          <w:lang w:val="en-US" w:eastAsia="zh-CN" w:bidi="ar-SA"/>
        </w:rPr>
      </w:pPr>
      <w:r>
        <w:rPr>
          <w:rFonts w:hint="default" w:ascii="Times New Roman" w:hAnsi="Times New Roman" w:eastAsia="仿宋_GB2312" w:cs="Times New Roman"/>
          <w:b w:val="0"/>
          <w:color w:val="auto"/>
          <w:kern w:val="2"/>
          <w:sz w:val="32"/>
          <w:szCs w:val="32"/>
          <w:shd w:val="clear" w:color="auto" w:fill="auto"/>
          <w:lang w:val="en-US" w:eastAsia="zh-CN" w:bidi="ar-SA"/>
        </w:rPr>
        <w:t>（四）平台建设情况。根据《2021年政务公开工作要点》和工作实际，安排专人对政府门户网站进行维护、更新，及时对反馈问题进行整改，做好栏目增减及信息迁移工作</w:t>
      </w:r>
      <w:r>
        <w:rPr>
          <w:rFonts w:hint="eastAsia" w:ascii="Times New Roman" w:hAnsi="Times New Roman" w:eastAsia="仿宋_GB2312" w:cs="Times New Roman"/>
          <w:b w:val="0"/>
          <w:color w:val="auto"/>
          <w:kern w:val="2"/>
          <w:sz w:val="32"/>
          <w:szCs w:val="32"/>
          <w:shd w:val="clear" w:color="auto" w:fill="auto"/>
          <w:lang w:val="en-US" w:eastAsia="zh-CN" w:bidi="ar-SA"/>
        </w:rPr>
        <w:t>，全力保障政府信息公开工作顺利开展。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rPr>
          <w:rFonts w:hint="default" w:ascii="Times New Roman" w:hAnsi="Times New Roman" w:eastAsia="仿宋_GB2312" w:cs="Times New Roman"/>
          <w:b w:val="0"/>
          <w:color w:val="auto"/>
          <w:kern w:val="2"/>
          <w:sz w:val="32"/>
          <w:szCs w:val="32"/>
          <w:shd w:val="clear" w:color="auto" w:fill="auto"/>
          <w:lang w:val="en-US" w:eastAsia="zh-CN" w:bidi="ar-SA"/>
        </w:rPr>
      </w:pPr>
      <w:r>
        <w:rPr>
          <w:rFonts w:hint="default" w:ascii="Times New Roman" w:hAnsi="Times New Roman" w:eastAsia="仿宋_GB2312" w:cs="Times New Roman"/>
          <w:b w:val="0"/>
          <w:color w:val="auto"/>
          <w:kern w:val="2"/>
          <w:sz w:val="32"/>
          <w:szCs w:val="32"/>
          <w:shd w:val="clear" w:color="auto" w:fill="auto"/>
          <w:lang w:val="en-US" w:eastAsia="zh-CN" w:bidi="ar-SA"/>
        </w:rPr>
        <w:t>（五）监督保障情况。我乡高度重视政府信息公开工作，在政府信息公开的制度构建中制定实施细则，切实将住房、教育、医疗、交通、社保、供水、供电以及计划生育等与公众利益密切相关的民生信息作为公开重点，乡保密领导小组履行责任，严格对公开信息进行审核，纪检部门落实监督检查责任，加强政府信息公开的监督检查。</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7"/>
        <w:tblpPr w:leftFromText="180" w:rightFromText="180" w:vertAnchor="text" w:horzAnchor="page" w:tblpX="1624" w:tblpY="412"/>
        <w:tblOverlap w:val="never"/>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185"/>
        <w:gridCol w:w="1724"/>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770" w:type="dxa"/>
            <w:gridSpan w:val="4"/>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信息内容</w:t>
            </w:r>
          </w:p>
        </w:tc>
        <w:tc>
          <w:tcPr>
            <w:tcW w:w="2185"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本年制发件数</w:t>
            </w:r>
          </w:p>
        </w:tc>
        <w:tc>
          <w:tcPr>
            <w:tcW w:w="1724"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本年废止件数</w:t>
            </w:r>
          </w:p>
        </w:tc>
        <w:tc>
          <w:tcPr>
            <w:tcW w:w="2153"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sz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规章</w:t>
            </w:r>
          </w:p>
        </w:tc>
        <w:tc>
          <w:tcPr>
            <w:tcW w:w="2185" w:type="dxa"/>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1724" w:type="dxa"/>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2153" w:type="dxa"/>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规范性文件</w:t>
            </w:r>
          </w:p>
        </w:tc>
        <w:tc>
          <w:tcPr>
            <w:tcW w:w="2185" w:type="dxa"/>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1724" w:type="dxa"/>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2153" w:type="dxa"/>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770" w:type="dxa"/>
            <w:gridSpan w:val="4"/>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信息内容</w:t>
            </w:r>
          </w:p>
        </w:tc>
        <w:tc>
          <w:tcPr>
            <w:tcW w:w="6062" w:type="dxa"/>
            <w:gridSpan w:val="3"/>
            <w:vAlign w:val="top"/>
          </w:tcPr>
          <w:p>
            <w:pPr>
              <w:widowControl/>
              <w:spacing w:after="144" w:line="300" w:lineRule="exact"/>
              <w:ind w:firstLine="480" w:firstLineChars="200"/>
              <w:jc w:val="center"/>
              <w:rPr>
                <w:rFonts w:hint="default" w:ascii="Times New Roman" w:hAnsi="Times New Roman" w:cs="Times New Roman"/>
                <w:sz w:val="24"/>
              </w:rPr>
            </w:pPr>
            <w:r>
              <w:rPr>
                <w:rFonts w:hint="default" w:ascii="Times New Roman" w:hAnsi="Times New Roman" w:cs="Times New Roman"/>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行政许可</w:t>
            </w:r>
          </w:p>
        </w:tc>
        <w:tc>
          <w:tcPr>
            <w:tcW w:w="6062" w:type="dxa"/>
            <w:gridSpan w:val="3"/>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770" w:type="dxa"/>
            <w:gridSpan w:val="4"/>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信息内容</w:t>
            </w:r>
          </w:p>
        </w:tc>
        <w:tc>
          <w:tcPr>
            <w:tcW w:w="6062" w:type="dxa"/>
            <w:gridSpan w:val="3"/>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行政处罚</w:t>
            </w:r>
          </w:p>
        </w:tc>
        <w:tc>
          <w:tcPr>
            <w:tcW w:w="6062" w:type="dxa"/>
            <w:gridSpan w:val="3"/>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行政强制</w:t>
            </w:r>
          </w:p>
        </w:tc>
        <w:tc>
          <w:tcPr>
            <w:tcW w:w="6062" w:type="dxa"/>
            <w:gridSpan w:val="3"/>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770" w:type="dxa"/>
            <w:gridSpan w:val="4"/>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信息内容</w:t>
            </w:r>
          </w:p>
        </w:tc>
        <w:tc>
          <w:tcPr>
            <w:tcW w:w="6062" w:type="dxa"/>
            <w:gridSpan w:val="3"/>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sz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708" w:type="dxa"/>
            <w:vAlign w:val="top"/>
          </w:tcPr>
          <w:p>
            <w:pPr>
              <w:widowControl/>
              <w:spacing w:after="144" w:line="300" w:lineRule="exact"/>
              <w:jc w:val="center"/>
              <w:rPr>
                <w:rFonts w:hint="default" w:ascii="Times New Roman" w:hAnsi="Times New Roman" w:cs="Times New Roman"/>
                <w:sz w:val="24"/>
              </w:rPr>
            </w:pPr>
            <w:r>
              <w:rPr>
                <w:rFonts w:hint="default" w:ascii="Times New Roman" w:hAnsi="Times New Roman" w:cs="Times New Roman"/>
                <w:kern w:val="0"/>
                <w:sz w:val="24"/>
                <w:lang w:bidi="ar"/>
              </w:rPr>
              <w:t>行政事业性收费</w:t>
            </w:r>
          </w:p>
        </w:tc>
        <w:tc>
          <w:tcPr>
            <w:tcW w:w="6062" w:type="dxa"/>
            <w:gridSpan w:val="3"/>
            <w:vAlign w:val="top"/>
          </w:tcPr>
          <w:p>
            <w:pPr>
              <w:widowControl/>
              <w:spacing w:after="144" w:line="30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0</w:t>
            </w:r>
          </w:p>
        </w:tc>
      </w:tr>
    </w:tbl>
    <w:p>
      <w:pPr>
        <w:pStyle w:val="5"/>
        <w:widowControl/>
        <w:numPr>
          <w:ilvl w:val="0"/>
          <w:numId w:val="0"/>
        </w:numPr>
        <w:spacing w:before="0" w:beforeAutospacing="0" w:after="0" w:afterAutospacing="0" w:line="560" w:lineRule="exact"/>
        <w:jc w:val="both"/>
        <w:rPr>
          <w:rFonts w:hint="default" w:ascii="Times New Roman" w:hAnsi="Times New Roman" w:eastAsia="黑体" w:cs="Times New Roman"/>
          <w:sz w:val="32"/>
          <w:szCs w:val="30"/>
        </w:rPr>
      </w:pPr>
      <w:r>
        <w:rPr>
          <w:rFonts w:hint="eastAsia" w:ascii="Times New Roman" w:hAnsi="Times New Roman" w:eastAsia="黑体" w:cs="Times New Roman"/>
          <w:sz w:val="32"/>
          <w:szCs w:val="30"/>
          <w:lang w:val="en-US" w:eastAsia="zh-CN"/>
        </w:rPr>
        <w:t>三、</w:t>
      </w:r>
      <w:r>
        <w:rPr>
          <w:rFonts w:hint="default" w:ascii="Times New Roman" w:hAnsi="Times New Roman" w:eastAsia="黑体" w:cs="Times New Roman"/>
          <w:sz w:val="32"/>
          <w:szCs w:val="30"/>
        </w:rPr>
        <w:t>收到和处理政府信息公开申请情况</w:t>
      </w:r>
    </w:p>
    <w:tbl>
      <w:tblPr>
        <w:tblStyle w:val="7"/>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456"/>
        <w:gridCol w:w="707"/>
        <w:gridCol w:w="707"/>
        <w:gridCol w:w="706"/>
        <w:gridCol w:w="707"/>
        <w:gridCol w:w="46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 w:hRule="atLeast"/>
          <w:jc w:val="center"/>
        </w:trPr>
        <w:tc>
          <w:tcPr>
            <w:tcW w:w="5010"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（本列数据的勾稽关系为：第一项加第二项之和，等于第三项加第四项之和）</w:t>
            </w:r>
          </w:p>
        </w:tc>
        <w:tc>
          <w:tcPr>
            <w:tcW w:w="4204" w:type="dxa"/>
            <w:gridSpan w:val="7"/>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45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自然人</w:t>
            </w:r>
          </w:p>
        </w:tc>
        <w:tc>
          <w:tcPr>
            <w:tcW w:w="3292"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法人或其他组织</w:t>
            </w:r>
          </w:p>
        </w:tc>
        <w:tc>
          <w:tcPr>
            <w:tcW w:w="45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5010" w:type="dxa"/>
            <w:gridSpan w:val="3"/>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45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商业企业</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科研机构</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社会公益组织</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法律服务机构</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其他</w:t>
            </w:r>
          </w:p>
        </w:tc>
        <w:tc>
          <w:tcPr>
            <w:tcW w:w="45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010"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一、本年新收政府信息公开申请数量</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4"/>
                <w:lang w:val="en-US" w:eastAsia="zh-CN"/>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4"/>
                <w:lang w:val="en-US" w:eastAsia="zh-CN"/>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010"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二、上年结转政府信息公开申请数量</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default" w:ascii="Times New Roman" w:hAnsi="Times New Roman" w:cs="Times New Roman"/>
                <w:kern w:val="0"/>
                <w:sz w:val="24"/>
                <w:lang w:bidi="ar"/>
              </w:rPr>
              <w:t>三、本年度办理结果</w:t>
            </w:r>
          </w:p>
        </w:tc>
        <w:tc>
          <w:tcPr>
            <w:tcW w:w="4313"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（一）予以公开</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4313"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（二）部分公开（区分处理的，只计这一情形，不计其他情形）</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（三）不予公开</w:t>
            </w: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1.属于国家秘密</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2.其他法律行政法规禁止公开</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3.危及“三安全一稳定”</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4.保护第三方合法权益</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5.属于三类内部事务信息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6.属于四类过程性信息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7.属于行政执法案卷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8.属于行政查询事项</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（四）无法提供</w:t>
            </w: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1.本机关不掌握相关政府信息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2.没有现成信息需要另行制作</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3.补正后申请内容仍不明确</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（五）不予处理</w:t>
            </w: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1.信访举报投诉类申请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2.重复申请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3.要求提供公开出版物</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4.无正当理由大量反复申请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Borders>
              <w:bottom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3377" w:type="dxa"/>
            <w:tcBorders>
              <w:bottom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5.要求行政机关确认或重新出具已获取信息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Borders>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restart"/>
            <w:tcBorders>
              <w:top w:val="single" w:color="auto" w:sz="4" w:space="0"/>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4"/>
              </w:rPr>
            </w:pPr>
            <w:r>
              <w:rPr>
                <w:rFonts w:hint="default" w:ascii="Times New Roman" w:hAnsi="Times New Roman" w:eastAsia="楷体" w:cs="Times New Roman"/>
                <w:kern w:val="0"/>
                <w:sz w:val="24"/>
                <w:lang w:bidi="ar"/>
              </w:rPr>
              <w:t>（六）其他处理</w:t>
            </w:r>
          </w:p>
        </w:tc>
        <w:tc>
          <w:tcPr>
            <w:tcW w:w="3377" w:type="dxa"/>
            <w:tcBorders>
              <w:top w:val="single" w:color="auto" w:sz="4" w:space="0"/>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楷体" w:cs="Times New Roman"/>
                <w:kern w:val="0"/>
                <w:sz w:val="24"/>
                <w:lang w:bidi="ar"/>
              </w:rPr>
            </w:pPr>
            <w:r>
              <w:rPr>
                <w:rFonts w:hint="default" w:ascii="Times New Roman" w:hAnsi="Times New Roman" w:eastAsia="楷体" w:cs="Times New Roman"/>
                <w:kern w:val="0"/>
                <w:sz w:val="24"/>
                <w:lang w:bidi="ar"/>
              </w:rPr>
              <w:t>1.申请人无正当理由逾期不补正、行政机关不再处理其政府信息公开申请</w:t>
            </w:r>
          </w:p>
        </w:tc>
        <w:tc>
          <w:tcPr>
            <w:tcW w:w="456" w:type="dxa"/>
            <w:tcBorders>
              <w:lef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Borders>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sz w:val="24"/>
              </w:rPr>
            </w:pPr>
          </w:p>
        </w:tc>
        <w:tc>
          <w:tcPr>
            <w:tcW w:w="936" w:type="dxa"/>
            <w:vMerge w:val="continue"/>
            <w:tcBorders>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楷体" w:cs="Times New Roman"/>
                <w:kern w:val="0"/>
                <w:sz w:val="24"/>
                <w:lang w:bidi="ar"/>
              </w:rPr>
            </w:pPr>
          </w:p>
        </w:tc>
        <w:tc>
          <w:tcPr>
            <w:tcW w:w="3377" w:type="dxa"/>
            <w:tcBorders>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楷体" w:cs="Times New Roman"/>
                <w:kern w:val="0"/>
                <w:sz w:val="24"/>
                <w:lang w:bidi="ar"/>
              </w:rPr>
            </w:pPr>
            <w:r>
              <w:rPr>
                <w:rFonts w:hint="default" w:ascii="Times New Roman" w:hAnsi="Times New Roman" w:eastAsia="楷体" w:cs="Times New Roman"/>
                <w:kern w:val="0"/>
                <w:sz w:val="24"/>
                <w:lang w:bidi="ar"/>
              </w:rPr>
              <w:t>2.申请人逾期未按收费通知要求缴纳费用、行政机关不再处理其政府信息公开申请</w:t>
            </w:r>
          </w:p>
        </w:tc>
        <w:tc>
          <w:tcPr>
            <w:tcW w:w="456" w:type="dxa"/>
            <w:tcBorders>
              <w:lef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eastAsia" w:cs="Times New Roman"/>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eastAsia" w:cs="Times New Roman"/>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eastAsia" w:cs="Times New Roman"/>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eastAsia" w:cs="Times New Roman"/>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Borders>
              <w:right w:val="single" w:color="auto" w:sz="4" w:space="0"/>
            </w:tcBorders>
            <w:tcMar>
              <w:left w:w="108" w:type="dxa"/>
              <w:right w:w="108" w:type="dxa"/>
            </w:tcMar>
            <w:vAlign w:val="center"/>
          </w:tcPr>
          <w:p>
            <w:pPr>
              <w:spacing w:line="260" w:lineRule="exact"/>
              <w:rPr>
                <w:rFonts w:hint="default" w:ascii="Times New Roman" w:hAnsi="Times New Roman" w:cs="Times New Roman"/>
                <w:sz w:val="24"/>
              </w:rPr>
            </w:pPr>
          </w:p>
        </w:tc>
        <w:tc>
          <w:tcPr>
            <w:tcW w:w="936" w:type="dxa"/>
            <w:vMerge w:val="continue"/>
            <w:tcBorders>
              <w:left w:val="single" w:color="auto" w:sz="4" w:space="0"/>
              <w:bottom w:val="single" w:color="auto" w:sz="4" w:space="0"/>
              <w:right w:val="single" w:color="auto" w:sz="4" w:space="0"/>
            </w:tcBorders>
            <w:tcMar>
              <w:left w:w="108" w:type="dxa"/>
              <w:right w:w="108" w:type="dxa"/>
            </w:tcMar>
            <w:vAlign w:val="center"/>
          </w:tcPr>
          <w:p>
            <w:pPr>
              <w:widowControl/>
              <w:spacing w:after="144" w:line="260" w:lineRule="exact"/>
              <w:jc w:val="left"/>
              <w:rPr>
                <w:rFonts w:hint="default" w:ascii="Times New Roman" w:hAnsi="Times New Roman" w:eastAsia="楷体" w:cs="Times New Roman"/>
                <w:kern w:val="0"/>
                <w:sz w:val="24"/>
                <w:lang w:bidi="ar"/>
              </w:rPr>
            </w:pPr>
          </w:p>
        </w:tc>
        <w:tc>
          <w:tcPr>
            <w:tcW w:w="3377" w:type="dxa"/>
            <w:tcBorders>
              <w:left w:val="single" w:color="auto" w:sz="4" w:space="0"/>
              <w:bottom w:val="single" w:color="auto" w:sz="4" w:space="0"/>
              <w:right w:val="single" w:color="auto" w:sz="4" w:space="0"/>
            </w:tcBorders>
            <w:tcMar>
              <w:left w:w="108" w:type="dxa"/>
              <w:right w:w="108" w:type="dxa"/>
            </w:tcMar>
            <w:vAlign w:val="center"/>
          </w:tcPr>
          <w:p>
            <w:pPr>
              <w:widowControl/>
              <w:spacing w:after="144" w:line="260" w:lineRule="exact"/>
              <w:jc w:val="left"/>
              <w:rPr>
                <w:rFonts w:hint="default" w:ascii="Times New Roman" w:hAnsi="Times New Roman" w:eastAsia="楷体" w:cs="Times New Roman"/>
                <w:kern w:val="0"/>
                <w:sz w:val="24"/>
                <w:lang w:bidi="ar"/>
              </w:rPr>
            </w:pPr>
            <w:r>
              <w:rPr>
                <w:rFonts w:hint="default" w:ascii="Times New Roman" w:hAnsi="Times New Roman" w:eastAsia="楷体" w:cs="Times New Roman"/>
                <w:kern w:val="0"/>
                <w:sz w:val="24"/>
                <w:lang w:bidi="ar"/>
              </w:rPr>
              <w:t>3.其他</w:t>
            </w:r>
          </w:p>
        </w:tc>
        <w:tc>
          <w:tcPr>
            <w:tcW w:w="456" w:type="dxa"/>
            <w:tcBorders>
              <w:left w:val="single" w:color="auto" w:sz="4" w:space="0"/>
            </w:tcBorders>
            <w:tcMar>
              <w:left w:w="108" w:type="dxa"/>
              <w:right w:w="108" w:type="dxa"/>
            </w:tcMar>
            <w:vAlign w:val="center"/>
          </w:tcPr>
          <w:p>
            <w:pPr>
              <w:widowControl/>
              <w:spacing w:after="144" w:line="260" w:lineRule="exact"/>
              <w:jc w:val="center"/>
              <w:rPr>
                <w:rFonts w:hint="default" w:ascii="Times New Roman" w:hAnsi="Times New Roman" w:cs="Times New Roman"/>
                <w:kern w:val="0"/>
                <w:sz w:val="24"/>
                <w:lang w:bidi="ar"/>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kern w:val="0"/>
                <w:sz w:val="24"/>
                <w:lang w:bidi="ar"/>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kern w:val="0"/>
                <w:sz w:val="24"/>
                <w:lang w:bidi="ar"/>
              </w:rPr>
            </w:pPr>
            <w:r>
              <w:rPr>
                <w:rFonts w:hint="eastAsia" w:cs="Times New Roman"/>
                <w:sz w:val="24"/>
                <w:lang w:val="en-US" w:eastAsia="zh-CN"/>
              </w:rPr>
              <w:t>0</w:t>
            </w:r>
          </w:p>
        </w:tc>
        <w:tc>
          <w:tcPr>
            <w:tcW w:w="706" w:type="dxa"/>
            <w:tcMar>
              <w:left w:w="108" w:type="dxa"/>
              <w:right w:w="108" w:type="dxa"/>
            </w:tcMar>
            <w:vAlign w:val="center"/>
          </w:tcPr>
          <w:p>
            <w:pPr>
              <w:widowControl/>
              <w:spacing w:after="144" w:line="260" w:lineRule="exact"/>
              <w:jc w:val="center"/>
              <w:rPr>
                <w:rFonts w:hint="default" w:ascii="Times New Roman" w:hAnsi="Times New Roman" w:cs="Times New Roman"/>
                <w:kern w:val="0"/>
                <w:sz w:val="24"/>
                <w:lang w:bidi="ar"/>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kern w:val="0"/>
                <w:sz w:val="24"/>
                <w:lang w:bidi="ar"/>
              </w:rPr>
            </w:pPr>
            <w:r>
              <w:rPr>
                <w:rFonts w:hint="eastAsia" w:cs="Times New Roman"/>
                <w:sz w:val="24"/>
                <w:lang w:val="en-US" w:eastAsia="zh-CN"/>
              </w:rPr>
              <w:t>0</w:t>
            </w:r>
          </w:p>
        </w:tc>
        <w:tc>
          <w:tcPr>
            <w:tcW w:w="465" w:type="dxa"/>
            <w:tcMar>
              <w:left w:w="108" w:type="dxa"/>
              <w:right w:w="108" w:type="dxa"/>
            </w:tcMar>
            <w:vAlign w:val="center"/>
          </w:tcPr>
          <w:p>
            <w:pPr>
              <w:widowControl/>
              <w:spacing w:after="144" w:line="260" w:lineRule="exact"/>
              <w:jc w:val="center"/>
              <w:rPr>
                <w:rFonts w:hint="default" w:ascii="Times New Roman" w:hAnsi="Times New Roman" w:cs="Times New Roman"/>
                <w:kern w:val="0"/>
                <w:sz w:val="24"/>
                <w:lang w:bidi="ar"/>
              </w:rPr>
            </w:pPr>
            <w:r>
              <w:rPr>
                <w:rFonts w:hint="eastAsia" w:cs="Times New Roman"/>
                <w:sz w:val="24"/>
                <w:lang w:val="en-US" w:eastAsia="zh-CN"/>
              </w:rPr>
              <w:t>0</w:t>
            </w:r>
          </w:p>
        </w:tc>
        <w:tc>
          <w:tcPr>
            <w:tcW w:w="456" w:type="dxa"/>
            <w:tcMar>
              <w:left w:w="108" w:type="dxa"/>
              <w:right w:w="108" w:type="dxa"/>
            </w:tcMar>
            <w:vAlign w:val="center"/>
          </w:tcPr>
          <w:p>
            <w:pPr>
              <w:widowControl/>
              <w:spacing w:after="144" w:line="260" w:lineRule="exact"/>
              <w:jc w:val="center"/>
              <w:rPr>
                <w:rFonts w:hint="default" w:ascii="Times New Roman" w:hAnsi="Times New Roman" w:cs="Times New Roman"/>
                <w:kern w:val="0"/>
                <w:sz w:val="24"/>
                <w:lang w:bidi="ar"/>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697" w:type="dxa"/>
            <w:vMerge w:val="continue"/>
            <w:tcMar>
              <w:left w:w="108" w:type="dxa"/>
              <w:right w:w="108" w:type="dxa"/>
            </w:tcMar>
            <w:vAlign w:val="center"/>
          </w:tcPr>
          <w:p>
            <w:pPr>
              <w:spacing w:line="260" w:lineRule="exact"/>
              <w:rPr>
                <w:rFonts w:hint="default" w:ascii="Times New Roman" w:hAnsi="Times New Roman" w:cs="Times New Roman"/>
                <w:sz w:val="24"/>
              </w:rPr>
            </w:pPr>
          </w:p>
        </w:tc>
        <w:tc>
          <w:tcPr>
            <w:tcW w:w="4313" w:type="dxa"/>
            <w:gridSpan w:val="2"/>
            <w:tcBorders>
              <w:top w:val="single" w:color="auto" w:sz="4" w:space="0"/>
            </w:tcBorders>
            <w:tcMar>
              <w:left w:w="108" w:type="dxa"/>
              <w:right w:w="108" w:type="dxa"/>
            </w:tcMar>
            <w:vAlign w:val="center"/>
          </w:tcPr>
          <w:p>
            <w:pPr>
              <w:widowControl/>
              <w:spacing w:after="144" w:line="260" w:lineRule="exact"/>
              <w:jc w:val="left"/>
              <w:rPr>
                <w:rFonts w:hint="default" w:ascii="Times New Roman" w:hAnsi="Times New Roman" w:cs="Times New Roman"/>
                <w:sz w:val="24"/>
              </w:rPr>
            </w:pPr>
            <w:r>
              <w:rPr>
                <w:rFonts w:hint="default" w:ascii="Times New Roman" w:hAnsi="Times New Roman" w:eastAsia="楷体" w:cs="Times New Roman"/>
                <w:kern w:val="0"/>
                <w:sz w:val="24"/>
                <w:lang w:bidi="ar"/>
              </w:rPr>
              <w:t>（七）总计</w:t>
            </w:r>
          </w:p>
        </w:tc>
        <w:tc>
          <w:tcPr>
            <w:tcW w:w="456"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010" w:type="dxa"/>
            <w:gridSpan w:val="3"/>
            <w:tcMar>
              <w:left w:w="108" w:type="dxa"/>
              <w:right w:w="108" w:type="dxa"/>
            </w:tcMar>
            <w:vAlign w:val="center"/>
          </w:tcPr>
          <w:p>
            <w:pPr>
              <w:widowControl/>
              <w:spacing w:after="144" w:line="260" w:lineRule="exact"/>
              <w:jc w:val="left"/>
              <w:rPr>
                <w:rFonts w:hint="default" w:ascii="Times New Roman" w:hAnsi="Times New Roman" w:cs="Times New Roman"/>
                <w:sz w:val="24"/>
              </w:rPr>
            </w:pPr>
            <w:r>
              <w:rPr>
                <w:rFonts w:hint="default" w:ascii="Times New Roman" w:hAnsi="Times New Roman" w:cs="Times New Roman"/>
                <w:kern w:val="0"/>
                <w:sz w:val="24"/>
                <w:lang w:bidi="ar"/>
              </w:rPr>
              <w:t>四、结转下年度继续办理</w:t>
            </w:r>
          </w:p>
        </w:tc>
        <w:tc>
          <w:tcPr>
            <w:tcW w:w="456"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6"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707"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465"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c>
          <w:tcPr>
            <w:tcW w:w="456" w:type="dxa"/>
            <w:tcMar>
              <w:left w:w="108" w:type="dxa"/>
              <w:right w:w="108" w:type="dxa"/>
            </w:tcMar>
            <w:vAlign w:val="center"/>
          </w:tcPr>
          <w:p>
            <w:pPr>
              <w:widowControl/>
              <w:spacing w:after="144" w:line="260" w:lineRule="exact"/>
              <w:jc w:val="center"/>
              <w:rPr>
                <w:rFonts w:hint="default" w:ascii="Times New Roman" w:hAnsi="Times New Roman" w:cs="Times New Roman"/>
                <w:sz w:val="24"/>
              </w:rPr>
            </w:pPr>
            <w:r>
              <w:rPr>
                <w:rFonts w:hint="eastAsia" w:cs="Times New Roman"/>
                <w:sz w:val="24"/>
                <w:lang w:val="en-US" w:eastAsia="zh-CN"/>
              </w:rPr>
              <w:t>0</w:t>
            </w:r>
          </w:p>
        </w:tc>
      </w:tr>
    </w:tbl>
    <w:p>
      <w:pPr>
        <w:spacing w:line="560" w:lineRule="exact"/>
        <w:ind w:firstLine="636" w:firstLineChars="19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7"/>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695"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行政复议</w:t>
            </w:r>
          </w:p>
        </w:tc>
        <w:tc>
          <w:tcPr>
            <w:tcW w:w="5732" w:type="dxa"/>
            <w:gridSpan w:val="1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结果维持</w:t>
            </w:r>
          </w:p>
        </w:tc>
        <w:tc>
          <w:tcPr>
            <w:tcW w:w="85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结果纠正</w:t>
            </w:r>
          </w:p>
        </w:tc>
        <w:tc>
          <w:tcPr>
            <w:tcW w:w="8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其他结果</w:t>
            </w:r>
          </w:p>
        </w:tc>
        <w:tc>
          <w:tcPr>
            <w:tcW w:w="70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尚未审结</w:t>
            </w:r>
          </w:p>
        </w:tc>
        <w:tc>
          <w:tcPr>
            <w:tcW w:w="45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总计</w:t>
            </w:r>
          </w:p>
        </w:tc>
        <w:tc>
          <w:tcPr>
            <w:tcW w:w="3368"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未经复议直接起诉</w:t>
            </w:r>
          </w:p>
        </w:tc>
        <w:tc>
          <w:tcPr>
            <w:tcW w:w="2364"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continue"/>
            <w:tcBorders>
              <w:top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p>
        </w:tc>
        <w:tc>
          <w:tcPr>
            <w:tcW w:w="851"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p>
        </w:tc>
        <w:tc>
          <w:tcPr>
            <w:tcW w:w="8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p>
        </w:tc>
        <w:tc>
          <w:tcPr>
            <w:tcW w:w="70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p>
        </w:tc>
        <w:tc>
          <w:tcPr>
            <w:tcW w:w="45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结果维持</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结果纠正</w:t>
            </w:r>
          </w:p>
        </w:tc>
        <w:tc>
          <w:tcPr>
            <w:tcW w:w="71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其他结果</w:t>
            </w:r>
          </w:p>
        </w:tc>
        <w:tc>
          <w:tcPr>
            <w:tcW w:w="78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尚未审结</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总计</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结果维持</w:t>
            </w:r>
          </w:p>
        </w:tc>
        <w:tc>
          <w:tcPr>
            <w:tcW w:w="5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结果纠正</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其他结果</w:t>
            </w:r>
          </w:p>
        </w:tc>
        <w:tc>
          <w:tcPr>
            <w:tcW w:w="46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尚未审结</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kern w:val="0"/>
                <w:sz w:val="24"/>
                <w:lang w:bidi="ar"/>
              </w:rPr>
            </w:pPr>
            <w:r>
              <w:rPr>
                <w:rFonts w:hint="default" w:ascii="Times New Roman" w:hAnsi="Times New Roman" w:cs="Times New Roman"/>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85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8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71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78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5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46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c>
          <w:tcPr>
            <w:tcW w:w="456" w:type="dxa"/>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kern w:val="0"/>
                <w:sz w:val="24"/>
                <w:lang w:val="en-US" w:eastAsia="zh-CN" w:bidi="ar"/>
              </w:rPr>
            </w:pPr>
            <w:r>
              <w:rPr>
                <w:rFonts w:hint="eastAsia" w:cs="Times New Roman"/>
                <w:kern w:val="0"/>
                <w:sz w:val="24"/>
                <w:lang w:val="en-US" w:eastAsia="zh-CN" w:bidi="ar"/>
              </w:rPr>
              <w:t>0</w:t>
            </w:r>
          </w:p>
        </w:tc>
      </w:tr>
    </w:tbl>
    <w:p>
      <w:pPr>
        <w:spacing w:line="560" w:lineRule="exact"/>
        <w:ind w:firstLine="636" w:firstLineChars="19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i w:val="0"/>
          <w:caps w:val="0"/>
          <w:color w:val="414141"/>
          <w:spacing w:val="0"/>
          <w:sz w:val="32"/>
          <w:szCs w:val="32"/>
          <w:shd w:val="clear" w:color="auto" w:fill="FFFFFF"/>
        </w:rPr>
      </w:pPr>
      <w:r>
        <w:rPr>
          <w:rFonts w:hint="eastAsia" w:ascii="仿宋_GB2312" w:hAnsi="仿宋_GB2312" w:eastAsia="仿宋_GB2312" w:cs="仿宋_GB2312"/>
          <w:b/>
          <w:bCs/>
          <w:i w:val="0"/>
          <w:caps w:val="0"/>
          <w:color w:val="414141"/>
          <w:spacing w:val="0"/>
          <w:sz w:val="32"/>
          <w:szCs w:val="32"/>
          <w:shd w:val="clear" w:color="auto" w:fill="FFFFFF"/>
          <w:lang w:val="en-US" w:eastAsia="zh-CN"/>
        </w:rPr>
        <w:t>存在问题：</w:t>
      </w:r>
      <w:r>
        <w:rPr>
          <w:rFonts w:hint="eastAsia" w:ascii="仿宋_GB2312" w:hAnsi="仿宋_GB2312" w:eastAsia="仿宋_GB2312" w:cs="仿宋_GB2312"/>
          <w:b w:val="0"/>
          <w:bCs w:val="0"/>
          <w:i w:val="0"/>
          <w:caps w:val="0"/>
          <w:color w:val="414141"/>
          <w:spacing w:val="0"/>
          <w:sz w:val="32"/>
          <w:szCs w:val="32"/>
          <w:shd w:val="clear" w:color="auto" w:fill="FFFFFF"/>
          <w:lang w:val="en-US" w:eastAsia="zh-CN"/>
        </w:rPr>
        <w:t>一</w:t>
      </w:r>
      <w:r>
        <w:rPr>
          <w:rFonts w:hint="eastAsia" w:ascii="Times New Roman" w:hAnsi="Times New Roman" w:eastAsia="仿宋_GB2312" w:cs="Times New Roman"/>
          <w:b w:val="0"/>
          <w:bCs w:val="0"/>
          <w:color w:val="auto"/>
          <w:kern w:val="2"/>
          <w:sz w:val="32"/>
          <w:szCs w:val="32"/>
          <w:shd w:val="clear" w:color="auto" w:fill="auto"/>
          <w:lang w:val="en-US" w:eastAsia="zh-CN" w:bidi="ar-SA"/>
        </w:rPr>
        <w:t>是政府信息公开主动性不够强，及时性不够，对一些公开的信息存在遗漏的现象。二是信息公开有的栏目公开事项少，如：工作动态较多，其他公开重视程度不够，导致公开内容较少。</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i w:val="0"/>
          <w:caps w:val="0"/>
          <w:color w:val="414141"/>
          <w:spacing w:val="0"/>
          <w:sz w:val="32"/>
          <w:szCs w:val="32"/>
          <w:shd w:val="clear" w:color="auto" w:fill="FFFFFF"/>
          <w:lang w:val="en-US"/>
        </w:rPr>
      </w:pPr>
      <w:r>
        <w:rPr>
          <w:rFonts w:hint="eastAsia" w:ascii="仿宋_GB2312" w:hAnsi="仿宋_GB2312" w:eastAsia="仿宋_GB2312" w:cs="仿宋_GB2312"/>
          <w:b/>
          <w:bCs/>
          <w:i w:val="0"/>
          <w:caps w:val="0"/>
          <w:color w:val="414141"/>
          <w:spacing w:val="0"/>
          <w:sz w:val="32"/>
          <w:szCs w:val="32"/>
          <w:shd w:val="clear" w:color="auto" w:fill="FFFFFF"/>
          <w:lang w:val="en-US" w:eastAsia="zh-CN"/>
        </w:rPr>
        <w:t>改进情况：</w:t>
      </w:r>
      <w:r>
        <w:rPr>
          <w:rFonts w:hint="eastAsia" w:ascii="仿宋_GB2312" w:hAnsi="仿宋_GB2312" w:eastAsia="仿宋_GB2312" w:cs="仿宋_GB2312"/>
          <w:b w:val="0"/>
          <w:bCs w:val="0"/>
          <w:i w:val="0"/>
          <w:caps w:val="0"/>
          <w:color w:val="414141"/>
          <w:spacing w:val="0"/>
          <w:sz w:val="32"/>
          <w:szCs w:val="32"/>
          <w:shd w:val="clear" w:color="auto" w:fill="FFFFFF"/>
          <w:lang w:val="en-US" w:eastAsia="zh-CN"/>
        </w:rPr>
        <w:t>一是不断强化对信息员的理论培训和业务培训。二是紧紧围绕实施政府信息公开工作，多渠道、多形式，向社会和广大群众深入宣传政府信息公开工作，努力在我乡形成群众积极关心政府信息公开的社会氛围。三是进一步完善政府信息公开各项规章制度，形成以制度管人、以制度谋事的长效机制，进一步规范政府信息公开工作。</w:t>
      </w:r>
    </w:p>
    <w:p>
      <w:pPr>
        <w:spacing w:line="560" w:lineRule="exact"/>
        <w:ind w:firstLine="636" w:firstLineChars="19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spacing w:line="550" w:lineRule="exact"/>
        <w:ind w:firstLine="592"/>
        <w:rPr>
          <w:rFonts w:hint="eastAsia" w:ascii="仿宋_GB2312" w:hAnsi="仿宋_GB2312" w:eastAsia="仿宋_GB2312" w:cs="仿宋_GB2312"/>
          <w:i w:val="0"/>
          <w:caps w:val="0"/>
          <w:color w:val="414141"/>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414141"/>
          <w:spacing w:val="0"/>
          <w:kern w:val="0"/>
          <w:sz w:val="32"/>
          <w:szCs w:val="32"/>
          <w:shd w:val="clear" w:color="auto" w:fill="FFFFFF"/>
          <w:lang w:val="en-US" w:eastAsia="zh-CN" w:bidi="ar-SA"/>
        </w:rPr>
        <w:t>无</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aps w:val="0"/>
          <w:color w:val="414141"/>
          <w:spacing w:val="0"/>
          <w:kern w:val="0"/>
          <w:sz w:val="32"/>
          <w:szCs w:val="32"/>
          <w:shd w:val="clear" w:color="auto" w:fill="FFFFFF"/>
          <w:lang w:val="en-US" w:eastAsia="zh-CN" w:bidi="ar-SA"/>
        </w:rPr>
      </w:pPr>
    </w:p>
    <w:p>
      <w:pPr>
        <w:rPr>
          <w:rFonts w:hint="eastAsia"/>
          <w:lang w:val="en-US" w:eastAsia="zh-CN"/>
        </w:rPr>
      </w:pPr>
    </w:p>
    <w:p>
      <w:pPr>
        <w:pStyle w:val="2"/>
        <w:pageBreakBefore w:val="0"/>
        <w:widowControl w:val="0"/>
        <w:kinsoku/>
        <w:wordWrap/>
        <w:overflowPunct/>
        <w:topLinePunct w:val="0"/>
        <w:autoSpaceDE/>
        <w:autoSpaceDN/>
        <w:bidi w:val="0"/>
        <w:adjustRightInd/>
        <w:snapToGrid/>
        <w:spacing w:after="0" w:afterAutospacing="0" w:line="560" w:lineRule="exact"/>
        <w:jc w:val="center"/>
        <w:textAlignment w:val="auto"/>
        <w:rPr>
          <w:rFonts w:hint="eastAsia" w:ascii="仿宋_GB2312" w:hAnsi="仿宋_GB2312" w:eastAsia="仿宋_GB2312" w:cs="仿宋_GB2312"/>
          <w:b w:val="0"/>
          <w:bCs w:val="0"/>
          <w:i w:val="0"/>
          <w:caps w:val="0"/>
          <w:color w:val="414141"/>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414141"/>
          <w:spacing w:val="0"/>
          <w:kern w:val="0"/>
          <w:sz w:val="32"/>
          <w:szCs w:val="32"/>
          <w:shd w:val="clear" w:color="auto" w:fill="FFFFFF"/>
          <w:lang w:val="en-US" w:eastAsia="zh-CN" w:bidi="ar-SA"/>
        </w:rPr>
        <w:t xml:space="preserve">                    阿合奇县</w:t>
      </w:r>
      <w:bookmarkStart w:id="0" w:name="_GoBack"/>
      <w:bookmarkEnd w:id="0"/>
      <w:r>
        <w:rPr>
          <w:rFonts w:hint="eastAsia" w:ascii="仿宋_GB2312" w:hAnsi="仿宋_GB2312" w:eastAsia="仿宋_GB2312" w:cs="仿宋_GB2312"/>
          <w:b w:val="0"/>
          <w:bCs w:val="0"/>
          <w:i w:val="0"/>
          <w:caps w:val="0"/>
          <w:color w:val="414141"/>
          <w:spacing w:val="0"/>
          <w:kern w:val="0"/>
          <w:sz w:val="32"/>
          <w:szCs w:val="32"/>
          <w:shd w:val="clear" w:color="auto" w:fill="FFFFFF"/>
          <w:lang w:val="en-US" w:eastAsia="zh-CN" w:bidi="ar-SA"/>
        </w:rPr>
        <w:t>哈拉布拉克乡人民政府</w:t>
      </w:r>
    </w:p>
    <w:p>
      <w:pPr>
        <w:pStyle w:val="2"/>
        <w:pageBreakBefore w:val="0"/>
        <w:widowControl w:val="0"/>
        <w:kinsoku/>
        <w:wordWrap/>
        <w:overflowPunct/>
        <w:topLinePunct w:val="0"/>
        <w:autoSpaceDE/>
        <w:autoSpaceDN/>
        <w:bidi w:val="0"/>
        <w:adjustRightInd/>
        <w:snapToGrid/>
        <w:spacing w:before="0" w:beforeAutospacing="0" w:after="0" w:line="240" w:lineRule="auto"/>
        <w:jc w:val="center"/>
        <w:textAlignment w:val="auto"/>
        <w:rPr>
          <w:rFonts w:hint="default" w:ascii="仿宋_GB2312" w:hAnsi="仿宋_GB2312" w:eastAsia="仿宋_GB2312" w:cs="仿宋_GB2312"/>
          <w:b w:val="0"/>
          <w:bCs w:val="0"/>
          <w:i w:val="0"/>
          <w:caps w:val="0"/>
          <w:color w:val="414141"/>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414141"/>
          <w:spacing w:val="0"/>
          <w:kern w:val="0"/>
          <w:sz w:val="32"/>
          <w:szCs w:val="32"/>
          <w:shd w:val="clear" w:color="auto" w:fill="FFFFFF"/>
          <w:lang w:val="en-US" w:eastAsia="zh-CN" w:bidi="ar-SA"/>
        </w:rPr>
        <w:t xml:space="preserve">                    2022年1月7日</w:t>
      </w:r>
    </w:p>
    <w:p>
      <w:pPr>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i w:val="0"/>
          <w:caps w:val="0"/>
          <w:color w:val="414141"/>
          <w:spacing w:val="0"/>
          <w:kern w:val="0"/>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272B7F"/>
    <w:rsid w:val="3BD5739B"/>
    <w:rsid w:val="578C1E22"/>
    <w:rsid w:val="5DA90860"/>
    <w:rsid w:val="60DB0F29"/>
    <w:rsid w:val="62485F0B"/>
    <w:rsid w:val="6469770F"/>
    <w:rsid w:val="7077272B"/>
    <w:rsid w:val="F9FB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110</dc:creator>
  <cp:lastModifiedBy>Administrator</cp:lastModifiedBy>
  <cp:lastPrinted>2022-01-14T17:22:00Z</cp:lastPrinted>
  <dcterms:modified xsi:type="dcterms:W3CDTF">2022-01-25T10:34:30Z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