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宋体" w:hAnsi="宋体" w:eastAsia="宋体" w:cs="仿宋"/>
          <w:b/>
          <w:sz w:val="32"/>
          <w:szCs w:val="32"/>
        </w:rPr>
      </w:pPr>
      <w:r>
        <w:rPr>
          <w:rFonts w:ascii="宋体" w:hAnsi="宋体" w:eastAsia="宋体" w:cs="仿宋"/>
          <w:b/>
          <w:sz w:val="32"/>
          <w:szCs w:val="32"/>
        </w:rPr>
        <w:t>附件</w:t>
      </w:r>
      <w:r>
        <w:rPr>
          <w:rFonts w:hint="eastAsia" w:ascii="宋体" w:hAnsi="宋体" w:eastAsia="宋体" w:cs="仿宋"/>
          <w:b/>
          <w:sz w:val="32"/>
          <w:szCs w:val="32"/>
        </w:rPr>
        <w:t>：</w:t>
      </w:r>
    </w:p>
    <w:p>
      <w:pPr>
        <w:adjustRightInd w:val="0"/>
        <w:jc w:val="left"/>
        <w:rPr>
          <w:rFonts w:ascii="黑体" w:hAnsi="黑体" w:eastAsia="黑体" w:cs="仿宋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阿合奇县201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8年贫困村退出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Spec="center" w:tblpY="277"/>
        <w:tblOverlap w:val="never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980"/>
        <w:gridCol w:w="1905"/>
        <w:gridCol w:w="2040"/>
        <w:gridCol w:w="1620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乡镇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村名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行政区划代码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贫困发生率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（%）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阿合奇镇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佳朗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奇村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653023100201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0.55%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阿合奇镇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吾曲村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653023100200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0.27%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色帕巴依乡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喀拉布隆村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653023201200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0.18%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色帕巴依乡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阿果依村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653023201202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0.64%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苏木塔什乡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苏木塔什村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653023202202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0.41%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哈拉奇乡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哈拉奇村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653023203200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0.07%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哈拉奇乡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布隆村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653023203201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0.04%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哈拉布拉克乡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阿克翁库尔村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653023204202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哈拉布拉克乡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哈拉布拉克村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653023204201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0.13%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哈拉布拉克乡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麦尔开其村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653023204200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0.76%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576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B4EDD"/>
    <w:rsid w:val="12A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2018-11-27T03:44:00Z</dcterms:created>
  <dc:creator>幸福家庭</dc:creator>
  <cp:lastModifiedBy>幸福家庭</cp:lastModifiedBy>
  <dcterms:modified xsi:type="dcterms:W3CDTF">2018-11-27T03:44:38Z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