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阿合奇县应急管理局2021年政府信息公开工作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年度报告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bookmarkEnd w:id="0"/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第五十条的有关要求，现特向社会公布2021年度本单位政府信息公开年度报告，本报告由总体情况、主动公开政府信息情况、收到和处理政府信息公开申请情况、政府信息公开行政复议和行政诉讼情况、存在的主要问题及改进情况和其他需要报告的事项等六大部分组成。本年报中所列数据的统计期限自2021年1月1日起至2021年12月31日止。如对本年报有疑义，请与克孜勒苏柯尔克孜自治州(简称克州)阿合奇县应急管理局办公室联系(联系电话:0908-5623050)。</w:t>
      </w:r>
    </w:p>
    <w:p>
      <w:pPr>
        <w:pStyle w:val="13"/>
        <w:numPr>
          <w:ilvl w:val="0"/>
          <w:numId w:val="1"/>
        </w:numPr>
        <w:spacing w:line="570" w:lineRule="exact"/>
        <w:ind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2021年是中国共产党成立100周年，是“十四五”规划开局之年，也是开启全面建设社会主义现代化国家新征程的关键之年。2021年在县委、县政府的正确领导下，在县电子政务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的指导下，我局坚持以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《中华人民共和国政府信息公开条例》</w:t>
      </w:r>
      <w:r>
        <w:rPr>
          <w:rFonts w:hint="eastAsia" w:ascii="仿宋_GB2312" w:hAnsi="仿宋_GB2312" w:eastAsia="仿宋_GB2312" w:cs="仿宋_GB2312"/>
          <w:sz w:val="32"/>
          <w:szCs w:val="32"/>
        </w:rPr>
        <w:t>为总纲领，坚持公开为常态、不公开为例外，着力开展政务公开工作。按照县政府信息公开有关要求，不断拓展公开内容，创新公开形式，完善公开制度，强化公开监督，取得了一定成效，现将一年来政府信息公开工作报告如下：</w:t>
      </w:r>
    </w:p>
    <w:p>
      <w:pPr>
        <w:spacing w:line="570" w:lineRule="exact"/>
        <w:ind w:firstLine="640" w:firstLineChars="200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(一 )主动公开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2021年阿合奇县应急管理局政务公开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栏目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更新各类政务信息53条。其中发布更新领导成员信息2条，新增内设机构信息2条，文件6条，执法法规条例3条，事故通报6条，安全生产6条，更新行政执法4条，安全生产结果公示5条，消防大队结果公示12条，防灾救灾7条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疆政务服务监管事项清单变更26项，其中行政许可事项5项，行政处罚事项2项，行政强制实现9项，行政征收事项无，行政给付事项1项，行政检查事项8项，行政确认事项1项，行政奖励事项无，行政裁决事项无，其他行政权力事项无，公共服务事项内职业病防治宣传教育项，实施编码：1165302367021152864652025006000，已移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卫健委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70" w:lineRule="exact"/>
        <w:ind w:firstLine="640" w:firstLineChars="200"/>
        <w:rPr>
          <w:rFonts w:hint="eastAsia"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(二)依申请公开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阿合奇县应急管理局按照《关于印发&lt;中华人民共和国政府信息公开工作年度报告格式&gt;的通知》（国办公开办函 [2021] 30号）及自治区、自治州、县政府有关工作要求，建立健全依申请公开工作机制和工作流程，进一步提升了本单位依申请公开办理水平。</w:t>
      </w:r>
    </w:p>
    <w:p>
      <w:pPr>
        <w:spacing w:line="570" w:lineRule="exact"/>
        <w:ind w:firstLine="640" w:firstLineChars="200"/>
        <w:rPr>
          <w:rFonts w:hint="eastAsia"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(三)政府信息管理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政府信息公开工作年度报告编发指南（参考）》，进一步规范了本单位政府信息公开平台设置，加强信息管理，提升主动公开工作实效，不断完善本部门政府信息发布审核机制，加强对相关工作人员的业务指导，严格规范网站信息发布程序，加强信息审核把关，落实“三审三校”制度，促进网站内容管理的规范化，确保网站内容安全可靠。</w:t>
      </w:r>
    </w:p>
    <w:p>
      <w:pPr>
        <w:spacing w:line="570" w:lineRule="exact"/>
        <w:ind w:firstLine="640" w:firstLineChars="200"/>
        <w:rPr>
          <w:rFonts w:hint="eastAsia"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(四)平台建设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阿合奇县应急管理局按照县政府的统一决策部署，在阿合奇县人民政府网站开设了本单位政府信息公开栏目，通过这些栏目人民群众可以了解本单位权限内可以公开的所有信息。</w:t>
      </w:r>
    </w:p>
    <w:p>
      <w:pPr>
        <w:spacing w:line="570" w:lineRule="exact"/>
        <w:ind w:firstLine="640" w:firstLineChars="200"/>
        <w:rPr>
          <w:rFonts w:hint="eastAsia"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(五)监督保障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应急管理局坚持“以公开为常态、不公开为例外，遵守公正、公平、合法、便民”原则，结合本单位工作职能出台了相关政府信息公开管理制度，通过健全信息公开发布机制，加强组织领导、人员保障、经费保障、督查问责、明确责任分工，畅通线上线下信息公开渠道，全方位、多维度推进政府信息公开工作提质增效。</w:t>
      </w:r>
    </w:p>
    <w:p>
      <w:pPr>
        <w:spacing w:line="57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8"/>
        <w:tblW w:w="87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2185"/>
        <w:gridCol w:w="1724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="144"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="144"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信息内容</w:t>
            </w:r>
          </w:p>
        </w:tc>
        <w:tc>
          <w:tcPr>
            <w:tcW w:w="2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="144"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本年</w:t>
            </w:r>
            <w:r>
              <w:rPr>
                <w:kern w:val="0"/>
                <w:sz w:val="24"/>
              </w:rPr>
              <w:t>制</w:t>
            </w:r>
            <w:r>
              <w:rPr>
                <w:rFonts w:hint="eastAsia" w:ascii="宋体" w:hAnsi="宋体"/>
                <w:kern w:val="0"/>
                <w:sz w:val="24"/>
              </w:rPr>
              <w:t>发件数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="144"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本年废止件数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="144"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="144"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规章</w:t>
            </w:r>
          </w:p>
        </w:tc>
        <w:tc>
          <w:tcPr>
            <w:tcW w:w="2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="144"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1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="144"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0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="144"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="144"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规范性文件</w:t>
            </w:r>
          </w:p>
        </w:tc>
        <w:tc>
          <w:tcPr>
            <w:tcW w:w="2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="144"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3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="144"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0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="144"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="144"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="144"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信息内容</w:t>
            </w:r>
          </w:p>
        </w:tc>
        <w:tc>
          <w:tcPr>
            <w:tcW w:w="6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="144" w:line="300" w:lineRule="exact"/>
              <w:ind w:firstLine="480" w:firstLineChars="2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="144"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行政许可</w:t>
            </w:r>
          </w:p>
        </w:tc>
        <w:tc>
          <w:tcPr>
            <w:tcW w:w="6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="144"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="144"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="144"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信息内容</w:t>
            </w:r>
          </w:p>
        </w:tc>
        <w:tc>
          <w:tcPr>
            <w:tcW w:w="6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="144"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="144"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行政处罚</w:t>
            </w:r>
          </w:p>
        </w:tc>
        <w:tc>
          <w:tcPr>
            <w:tcW w:w="6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="144"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="144"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行政强制</w:t>
            </w:r>
          </w:p>
        </w:tc>
        <w:tc>
          <w:tcPr>
            <w:tcW w:w="6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="144"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="144"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="144"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信息内容</w:t>
            </w:r>
          </w:p>
        </w:tc>
        <w:tc>
          <w:tcPr>
            <w:tcW w:w="6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="144"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="144"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行政事业性收费</w:t>
            </w:r>
          </w:p>
        </w:tc>
        <w:tc>
          <w:tcPr>
            <w:tcW w:w="6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="144"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0</w:t>
            </w:r>
          </w:p>
        </w:tc>
      </w:tr>
    </w:tbl>
    <w:p>
      <w:pPr>
        <w:spacing w:line="564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8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851"/>
        <w:gridCol w:w="1984"/>
        <w:gridCol w:w="713"/>
        <w:gridCol w:w="755"/>
        <w:gridCol w:w="755"/>
        <w:gridCol w:w="813"/>
        <w:gridCol w:w="973"/>
        <w:gridCol w:w="711"/>
        <w:gridCol w:w="6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5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541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三、本年度办理结果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（一）予以公开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（三）不予公开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1.属于国家秘密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2.其他法律行政法规禁止公开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3.危及“三安全一稳定”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4.保护第三方合法权益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5.属于三类内部事务信息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6.属于四类过程性信息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7.属于行政执法案卷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8.属于行政查询事项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（四）无法提供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1.本机关不掌握相关政府信息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2.没有现成信息需要另行制作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3.补正后申请内容仍不明确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（五）不予处理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1.信访举报投诉类申请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2.重复申请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3.要求提供公开出版物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4.无正当理由大量反复申请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  <w:jc w:val="center"/>
        </w:trPr>
        <w:tc>
          <w:tcPr>
            <w:tcW w:w="8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（六）其他处理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（七）总计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36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四、结转下年度继续办理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</w:tr>
    </w:tbl>
    <w:p>
      <w:pPr>
        <w:spacing w:line="564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8"/>
        <w:tblW w:w="908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605"/>
        <w:gridCol w:w="605"/>
        <w:gridCol w:w="605"/>
        <w:gridCol w:w="659"/>
        <w:gridCol w:w="551"/>
        <w:gridCol w:w="606"/>
        <w:gridCol w:w="606"/>
        <w:gridCol w:w="606"/>
        <w:gridCol w:w="606"/>
        <w:gridCol w:w="606"/>
        <w:gridCol w:w="606"/>
        <w:gridCol w:w="606"/>
        <w:gridCol w:w="607"/>
        <w:gridCol w:w="60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行政复议</w:t>
            </w:r>
          </w:p>
        </w:tc>
        <w:tc>
          <w:tcPr>
            <w:tcW w:w="600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60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结果维持</w:t>
            </w:r>
          </w:p>
        </w:tc>
        <w:tc>
          <w:tcPr>
            <w:tcW w:w="6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结果纠正</w:t>
            </w:r>
          </w:p>
        </w:tc>
        <w:tc>
          <w:tcPr>
            <w:tcW w:w="60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其他结果</w:t>
            </w:r>
          </w:p>
        </w:tc>
        <w:tc>
          <w:tcPr>
            <w:tcW w:w="60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尚未审结</w:t>
            </w:r>
          </w:p>
        </w:tc>
        <w:tc>
          <w:tcPr>
            <w:tcW w:w="65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总计</w:t>
            </w:r>
          </w:p>
        </w:tc>
        <w:tc>
          <w:tcPr>
            <w:tcW w:w="297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未经复议直接起诉</w:t>
            </w:r>
          </w:p>
        </w:tc>
        <w:tc>
          <w:tcPr>
            <w:tcW w:w="303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  <w:jc w:val="center"/>
        </w:trPr>
        <w:tc>
          <w:tcPr>
            <w:tcW w:w="6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5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结果维持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结果纠正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结果维持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结果纠正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其他结果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尚未审结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</w:tr>
    </w:tbl>
    <w:p>
      <w:pPr>
        <w:pStyle w:val="13"/>
        <w:numPr>
          <w:ilvl w:val="0"/>
          <w:numId w:val="2"/>
        </w:numPr>
        <w:spacing w:line="570" w:lineRule="exact"/>
        <w:ind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存在的主要问题及改进情况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针对我局存在公开理念不到位、公开的制度化规范化程度不够、公开力度不够、公开的实际效果不理想等问题，找准短板，明确差距，有针对性的解决目前政务公开中存在的不足，立即行动，抓紧时间补缺补差，完善政务公开工作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（二）规范政务公开内容和程序。按照《条例》的要求及时公布执法检查、结果公示等信息，做好主动公开和依申请公开工作。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（三）加强政务公开载体建设。利用政府信息公开栏、政务网站等各种载体，扩大政务公开覆盖面，提高群众的知晓率和参与率。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（四）加大政务公开监督检查力度。加强政务公开日常检查，局领导与分管领导坚持定期检查与随机检查相结合，督促各科室认真贯彻落实政务公开各项要求，做好政务公开工作。</w:t>
      </w:r>
    </w:p>
    <w:p>
      <w:pPr>
        <w:spacing w:line="57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本年度政府信息公开申请未产生信息处理费用，特此报告。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ind w:firstLine="5120" w:firstLineChars="1600"/>
        <w:rPr>
          <w:rFonts w:ascii="仿宋" w:hAnsi="仿宋" w:eastAsia="仿宋" w:cs="仿宋"/>
          <w:kern w:val="0"/>
          <w:sz w:val="32"/>
          <w:szCs w:val="32"/>
        </w:rPr>
      </w:pPr>
    </w:p>
    <w:p>
      <w:pPr>
        <w:spacing w:line="570" w:lineRule="exact"/>
        <w:ind w:firstLine="5120" w:firstLineChars="16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阿合奇县应急管理局</w:t>
      </w:r>
    </w:p>
    <w:p>
      <w:pPr>
        <w:spacing w:line="570" w:lineRule="exact"/>
        <w:ind w:firstLine="5440" w:firstLineChars="17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2022年1月7日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33E32"/>
    <w:multiLevelType w:val="multilevel"/>
    <w:tmpl w:val="0F933E32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0981AD1"/>
    <w:multiLevelType w:val="multilevel"/>
    <w:tmpl w:val="50981AD1"/>
    <w:lvl w:ilvl="0" w:tentative="0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7244C"/>
    <w:rsid w:val="000045FA"/>
    <w:rsid w:val="0002089E"/>
    <w:rsid w:val="0002252A"/>
    <w:rsid w:val="000D6DA5"/>
    <w:rsid w:val="00194A6F"/>
    <w:rsid w:val="00215F66"/>
    <w:rsid w:val="00272FB8"/>
    <w:rsid w:val="0028577B"/>
    <w:rsid w:val="0032123F"/>
    <w:rsid w:val="003464D7"/>
    <w:rsid w:val="003755D6"/>
    <w:rsid w:val="003838F0"/>
    <w:rsid w:val="0042263E"/>
    <w:rsid w:val="00476F7A"/>
    <w:rsid w:val="004A4557"/>
    <w:rsid w:val="004B394D"/>
    <w:rsid w:val="0052449C"/>
    <w:rsid w:val="007545BB"/>
    <w:rsid w:val="0077244C"/>
    <w:rsid w:val="007801A9"/>
    <w:rsid w:val="00861C76"/>
    <w:rsid w:val="008739EB"/>
    <w:rsid w:val="008F2E70"/>
    <w:rsid w:val="009160C5"/>
    <w:rsid w:val="00997044"/>
    <w:rsid w:val="009B3930"/>
    <w:rsid w:val="009C65B9"/>
    <w:rsid w:val="009D7801"/>
    <w:rsid w:val="00A65468"/>
    <w:rsid w:val="00A93272"/>
    <w:rsid w:val="00BE620B"/>
    <w:rsid w:val="00BE7749"/>
    <w:rsid w:val="00BF449B"/>
    <w:rsid w:val="00D45820"/>
    <w:rsid w:val="00DA554D"/>
    <w:rsid w:val="00DE3AD5"/>
    <w:rsid w:val="00E034DE"/>
    <w:rsid w:val="00E60CE6"/>
    <w:rsid w:val="00E63472"/>
    <w:rsid w:val="00E81683"/>
    <w:rsid w:val="00EC544D"/>
    <w:rsid w:val="00F71162"/>
    <w:rsid w:val="00FA5423"/>
    <w:rsid w:val="025A37AA"/>
    <w:rsid w:val="070D5DCA"/>
    <w:rsid w:val="0C4F1156"/>
    <w:rsid w:val="11490258"/>
    <w:rsid w:val="135F2633"/>
    <w:rsid w:val="187F0746"/>
    <w:rsid w:val="18E27076"/>
    <w:rsid w:val="1C163EA1"/>
    <w:rsid w:val="21B42E53"/>
    <w:rsid w:val="2D2C7590"/>
    <w:rsid w:val="2EC40C7E"/>
    <w:rsid w:val="30F97C20"/>
    <w:rsid w:val="3CEB07DD"/>
    <w:rsid w:val="3FBA7744"/>
    <w:rsid w:val="42440468"/>
    <w:rsid w:val="496A6EAA"/>
    <w:rsid w:val="4BF20E33"/>
    <w:rsid w:val="4DFC34E9"/>
    <w:rsid w:val="4F6618DF"/>
    <w:rsid w:val="50477B80"/>
    <w:rsid w:val="52230514"/>
    <w:rsid w:val="5BB06221"/>
    <w:rsid w:val="5FBD5A97"/>
    <w:rsid w:val="620F7515"/>
    <w:rsid w:val="6832758D"/>
    <w:rsid w:val="6A0130BF"/>
    <w:rsid w:val="6B9A54BD"/>
    <w:rsid w:val="71DC7CB4"/>
    <w:rsid w:val="75A854C4"/>
    <w:rsid w:val="79B37F7D"/>
    <w:rsid w:val="7A046534"/>
    <w:rsid w:val="7C456870"/>
    <w:rsid w:val="7D19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qFormat/>
    <w:uiPriority w:val="0"/>
    <w:rPr>
      <w:rFonts w:hint="default" w:ascii="微软雅黑" w:hAnsi="微软雅黑" w:eastAsia="微软雅黑" w:cs="微软雅黑"/>
      <w:color w:val="6C6C6C"/>
      <w:u w:val="none"/>
    </w:rPr>
  </w:style>
  <w:style w:type="character" w:styleId="7">
    <w:name w:val="Hyperlink"/>
    <w:basedOn w:val="5"/>
    <w:qFormat/>
    <w:uiPriority w:val="0"/>
    <w:rPr>
      <w:rFonts w:ascii="微软雅黑" w:hAnsi="微软雅黑" w:eastAsia="微软雅黑" w:cs="微软雅黑"/>
      <w:color w:val="6C6C6C"/>
      <w:u w:val="none"/>
    </w:rPr>
  </w:style>
  <w:style w:type="character" w:customStyle="1" w:styleId="9">
    <w:name w:val="current2"/>
    <w:basedOn w:val="5"/>
    <w:qFormat/>
    <w:uiPriority w:val="0"/>
    <w:rPr>
      <w:color w:val="FFFFFF"/>
      <w:shd w:val="clear" w:color="auto" w:fill="D63231"/>
    </w:rPr>
  </w:style>
  <w:style w:type="character" w:customStyle="1" w:styleId="10">
    <w:name w:val="bsharetext"/>
    <w:basedOn w:val="5"/>
    <w:qFormat/>
    <w:uiPriority w:val="0"/>
  </w:style>
  <w:style w:type="character" w:customStyle="1" w:styleId="11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A13319-C4DA-466E-97A7-FF37ABC2C3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430</Words>
  <Characters>2455</Characters>
  <Lines>20</Lines>
  <Paragraphs>5</Paragraphs>
  <TotalTime>7</TotalTime>
  <ScaleCrop>false</ScaleCrop>
  <LinksUpToDate>false</LinksUpToDate>
  <CharactersWithSpaces>2880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2011-01-03T11:23:00Z</dcterms:created>
  <dc:creator>Administrator</dc:creator>
  <cp:lastModifiedBy>admin</cp:lastModifiedBy>
  <cp:lastPrinted>2011-01-05T09:35:00Z</cp:lastPrinted>
  <dcterms:modified xsi:type="dcterms:W3CDTF">2012-12-31T16:38:34Z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