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阿合奇县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人力资源社会保障局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年，阿合奇县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以习近平新时代中国特色社会主义思想为指导，全面贯彻落实党的十九大和十九届二中、三中、四中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、五中、六中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全会精神，紧紧围绕党中央、国务院的重大决策部署，学习贯彻新修订的《中华人民共和国政府信息公开条例》、国务院办公厅《关于印发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年政务公开工作要点的通知》等文件精神，围绕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工作，把推进政府信息公开工作列入重要议事日程，把政府信息公开工作与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业务工作同研究、同部署、同推进，着力加强政府信息公开工作，强化信息公开管理，推进政务信息公开制度化、规范化，确保年度政府信息公开各项工作任务落实到位。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阿合奇县人社局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阿合奇县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人民政府网站上主动公开政务信息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条。主要对政务公开和政务服务类进行公开，其中：文件公开8条，执行法规条例公开2条，人事招录公开11条，社会保障公开4条，就业政策公开5条，就业创业补贴公开6条，职业资格清单公开4条，行政处罚信息公开8条，行政执法公开10条，社会保险公开3条。另外，对领导成员及部门职责内容进行更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主动公开政府信息的主要类别主要是政策法规文件、通知公告、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社保、就业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政策落实情况等工作动态。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劳动监察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政策信息公开。及时公开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劳动监察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相关政策，密切关注社会动态，做好政策解释和舆论引导，推动政策贯彻落实，提升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对政策的知晓率。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人事招录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(招聘）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等相关信息，按规定进行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发布招聘岗位428个</w:t>
      </w:r>
      <w:r>
        <w:rPr>
          <w:rFonts w:hint="eastAsia" w:ascii="仿宋_GB2312" w:hAnsi="仿宋_GB2312" w:eastAsia="仿宋_GB2312" w:cs="仿宋_GB2312"/>
          <w:sz w:val="32"/>
          <w:szCs w:val="32"/>
        </w:rPr>
        <w:t>；加大对违反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规定行为的查处、曝光力度，适时公开监督管理、处罚信息。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年,我局没有收到书面或其他形式要求公开政府信息的申请。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强化组织领导，建立分工协作的责任机制。按照《中华人民共和国政府信息公开条例》和政府信息公开的有关规定和要求，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建立了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由主要领导为组长、分管领导为副组长，各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室负责人为成员的政务公开领导小组，领导小组下设办公室，负责组织实施全局政务公开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应公开尽公开，推动政务公开工作常态化。阿合奇县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</w:rPr>
        <w:t>局采取一系列切实有效措施，确保政务公开工作取得实效。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对执行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就业、社保、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党风廉政、人事工作中非涉密信息予以完全公开。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执行“三审三校”流程，安排专人负责信息发表初审工作，并确定一名分管领导进行审核，从而达到发布内容合规。对公开内容实行动态管理，督促业务科室及时主动公开相关信息，并对公开内容每月进行自查，确保平台运行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阿合奇县人社局依托政府网站建立县人社局公开页面，根据工作内容及公开要求建立相关栏目，切实做好责任栏目信息更新常态化，确保信息更新的实效性和准确性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机构改革和人事变动情况，及时成立政务公开工作领导小组，确保机构人员的稳定性，并进一步明确责任分工，建立了主要领导负责、分管领导具体抓、专门科室承办，其他科室配合的组织推进体系。同时，我局每月定期对信息栏目进行相应更新确保信息公开工作监督到位，保障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1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8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本年制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发件数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5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年度未收到和处理政府信息公开申请。</w:t>
      </w:r>
    </w:p>
    <w:tbl>
      <w:tblPr>
        <w:tblStyle w:val="3"/>
        <w:tblW w:w="81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93"/>
        <w:gridCol w:w="5"/>
        <w:gridCol w:w="3045"/>
        <w:gridCol w:w="540"/>
        <w:gridCol w:w="610"/>
        <w:gridCol w:w="610"/>
        <w:gridCol w:w="640"/>
        <w:gridCol w:w="630"/>
        <w:gridCol w:w="510"/>
        <w:gridCol w:w="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40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（本列数据的勾稽关系为：第一项加第二项之和，等于第三项加第四项之和）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申请人情况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403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403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商业企业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科研机构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社会公益组织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法律服务机构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03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一、本年新收政府信息公开申请数量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03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二、上年结转政府信息公开申请数量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restart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三、本年度办理结果</w:t>
            </w:r>
          </w:p>
        </w:tc>
        <w:tc>
          <w:tcPr>
            <w:tcW w:w="3543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（一）予以公开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543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（三）不予公开</w:t>
            </w: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1.属于国家秘密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2.其他法律行政法规禁止公开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3.危及“三安全一稳定”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4.保护第三方合法权益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5.属于三类内部事务信息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6.属于四类过程性信息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7.属于行政执法案卷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8.属于行政查询事项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（四）无法提供</w:t>
            </w: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1.本机关不掌握相关政府信息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2.没有现成信息需要另行制作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3.补正后申请内容仍不明确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（五）不予处理</w:t>
            </w: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1.信访举报投诉类申请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2.重复申请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3.要求提供公开出版物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4.无正当理由大量反复申请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5.要求行政机关确认或重新出具已获取信息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color="auto" w:sz="0" w:space="0"/>
              <w:left w:val="single" w:color="auto" w:sz="0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（六）其他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处理</w:t>
            </w:r>
          </w:p>
        </w:tc>
        <w:tc>
          <w:tcPr>
            <w:tcW w:w="3045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vMerge w:val="continue"/>
            <w:tcBorders>
              <w:left w:val="single" w:color="auto" w:sz="0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45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vMerge w:val="continue"/>
            <w:tcBorders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045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3.其他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95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543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（七）总计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403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四、结转下年度继续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办理</w:t>
            </w:r>
          </w:p>
        </w:tc>
        <w:tc>
          <w:tcPr>
            <w:tcW w:w="5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4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57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0" w:space="0"/>
            </w:tcBorders>
            <w:tcMar>
              <w:left w:w="81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</w:tr>
    </w:tbl>
    <w:tbl>
      <w:tblPr>
        <w:tblStyle w:val="4"/>
        <w:tblpPr w:leftFromText="180" w:rightFromText="180" w:vertAnchor="text" w:tblpX="10427" w:tblpY="30151"/>
        <w:tblOverlap w:val="never"/>
        <w:tblW w:w="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3"/>
        <w:tblW w:w="900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361"/>
        <w:gridCol w:w="361"/>
        <w:gridCol w:w="362"/>
        <w:gridCol w:w="36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行政诉讼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未经复议直接起诉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复议后起诉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五、工作推进中存在的问题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1.政务信息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公开形式单一。目前我局还局限于采用文字进行政务信息公开，缺乏创新；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本单位各科室政务公开工作意识有待加强，主动公开意识需进一步强化。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下一步，我们将从以下方面推进政府信息公开工作：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不断完善政府信息公开的内容，围绕全局中心工作和社会关注的热点、难点问题，着力抓好就业创业。社会保障、劳动权益保障以及申请公开工作，使信息内容更新常态化；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进一步强化对政务公开日常工作的管理和引导，逐步形成长效的工作机制。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本年度无收取信息处理费情况及其他需要报告事项。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4E22"/>
    <w:rsid w:val="02652A4D"/>
    <w:rsid w:val="0F461C61"/>
    <w:rsid w:val="1466431E"/>
    <w:rsid w:val="1F0A6BC1"/>
    <w:rsid w:val="21324E22"/>
    <w:rsid w:val="24B80CE9"/>
    <w:rsid w:val="27E96208"/>
    <w:rsid w:val="2C954CF1"/>
    <w:rsid w:val="34640763"/>
    <w:rsid w:val="36001BFA"/>
    <w:rsid w:val="38D91448"/>
    <w:rsid w:val="41F6326B"/>
    <w:rsid w:val="45FE58A9"/>
    <w:rsid w:val="46386CBD"/>
    <w:rsid w:val="4D6248A0"/>
    <w:rsid w:val="569124B8"/>
    <w:rsid w:val="58BE710D"/>
    <w:rsid w:val="61B171B1"/>
    <w:rsid w:val="69EC06FF"/>
    <w:rsid w:val="6AA551F5"/>
    <w:rsid w:val="726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sz w:val="24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Administrator</cp:lastModifiedBy>
  <cp:lastPrinted>2022-01-15T11:06:00Z</cp:lastPrinted>
  <dcterms:modified xsi:type="dcterms:W3CDTF">2022-01-28T05:11:57Z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