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eastAsia="zh-CN"/>
        </w:rPr>
      </w:pPr>
      <w:bookmarkStart w:id="2" w:name="_GoBack"/>
      <w:bookmarkEnd w:id="2"/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</w:rPr>
        <w:t>附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</w:rPr>
        <w:t>件：</w:t>
      </w:r>
    </w:p>
    <w:p>
      <w:pPr>
        <w:pStyle w:val="13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line="578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克州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阿合奇县佳朗奇污水处理厂中水</w:t>
      </w:r>
    </w:p>
    <w:p>
      <w:pPr>
        <w:pStyle w:val="13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line="578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综合利用建设项目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水土保持方案报告书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的</w:t>
      </w:r>
    </w:p>
    <w:p>
      <w:pPr>
        <w:pStyle w:val="3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技术审查意见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78" w:lineRule="exact"/>
        <w:textAlignment w:val="auto"/>
        <w:rPr>
          <w:color w:val="auto"/>
          <w:highlight w:val="none"/>
        </w:rPr>
      </w:pPr>
    </w:p>
    <w:p>
      <w:pPr>
        <w:pStyle w:val="3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阿合奇县水利局于2023年2月6日对修改完善后的《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US" w:eastAsia="zh-CN"/>
        </w:rPr>
        <w:t>克州阿合奇县佳朗奇污水处理厂中水综合利用建设项目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  <w:t>水土保持方案报告书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》进行复核和研究，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  <w:t>该水土保持方案报告书基本符合水土保持法律法规、技术标准及有关文件的规定，基本同意该水土保持方案，现提出技术评审意见如下：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  <w:t>一、项目水土保持评价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一）基本同意主体工程选址选线水土保持制约性因素的分析与评价。本项目涉及塔里木河国家级水土流失重点预防区，基本同意水土保持方案报告书中提出的优化施工工艺、减少地表扰动和植被损坏范围的措施。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bookmarkStart w:id="0" w:name="bookmark19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</w:t>
      </w:r>
      <w:bookmarkEnd w:id="0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二）基本同意对项目占地、土石方平衡、施工工艺和方法的水土保持分析与评价。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bookmarkStart w:id="1" w:name="bookmark20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</w:t>
      </w:r>
      <w:bookmarkEnd w:id="1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三）基本同意对主体设计中具有水土保持功能工程的评价和界定。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  <w:t>二、水土流失防治责任范围</w:t>
      </w:r>
    </w:p>
    <w:p>
      <w:pPr>
        <w:pStyle w:val="31"/>
        <w:keepNext w:val="0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基本同意项目建设期水土流失防治责任范围面积为27.10hm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。工程项目建设主要包括蓄水池工程区、管线区、道路区、配套工程区、临时堆土区、施工生产生活区。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  <w:t>三、水土流失防治目标</w:t>
      </w:r>
    </w:p>
    <w:p>
      <w:pPr>
        <w:pStyle w:val="31"/>
        <w:keepNext w:val="0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鉴于项目区涉及塔里木河国家级水土流失重点预防区，同意本项目水土流失防治执行北方风沙区建设类项目一级标准。基本同意本项目设计水平年水土流失防治目标为：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水土流失治理度达到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85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％，水土流失控制比达到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1.0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，渣土防护率达到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87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％，林草植被恢复率、林草覆盖率、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表土保护率不作要求。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  <w:t>四、水土流失分析与预测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基本同意水土流失预测内容和方法。经预测，工程扰动后土壤流失总量为2067.44t，新增水土流失总量为961.66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t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,背景流失量为1105.78t。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zh-CN" w:eastAsia="zh-CN" w:bidi="zh-TW"/>
        </w:rPr>
        <w:t>水土流失的重点部位为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蓄水池工程区和管线区。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 w:bidi="en-US"/>
        </w:rPr>
        <w:t>五、水土保持措施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基本同意按照水土流失类型相同及治理措施位于山前冲洪积平原区，侵蚀类型为轻度风蚀，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0"/>
          <w:szCs w:val="30"/>
          <w:highlight w:val="none"/>
          <w:lang w:val="en-US" w:eastAsia="zh-CN" w:bidi="zh-TW"/>
        </w:rPr>
        <w:t>各区之间差异较大的原则，将本项目的水土流失防治区划分为1个一级分区：山前冲洪积倾斜平原区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。6个二级分区：蓄水池工程区、管线区、道路区、配套工程区、临时堆土区、施工生产生活区。2个三级分区：扬水管线、放水管线。工程项目建设主要由蓄水池工程区、管线区、道路区、配套工程区、临时堆土区、施工生产生活区。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（1）蓄水池工程区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工程措施：土地平整8.37hm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（主体已列）、砼护坡4534m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（主体已列）、排水沟900m（主体已列），防洪沟300m（主体已列）；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临时措施：洒水降尘4520m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（方案新增）、彩条旗限界1400m（方案新增）、防尘网苫盖40000m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（2）管线区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工程措施：土地平整11.48hm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临时措施：洒水降尘5166m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（方案新增）、彩条旗限界1000m（方案新增）、防尘网苫盖1000m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（3）配套工程区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工程措施：土地平整0.04hm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临时措施：洒水降尘18m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（4）道路区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临时措施：洒水降尘1260m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（方案新增）、防尘网苫盖1000m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，彩条旗限界1000m（方案新增）；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（5）施工生产生活区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工程措施：土地平整0.21hm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临时措施：洒水降尘113m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44"/>
          <w:highlight w:val="none"/>
          <w:lang w:val="en-US" w:eastAsia="zh-CN" w:bidi="zh-TW"/>
        </w:rPr>
        <w:t>（6）临时堆土区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工程措施：土地平整0.90hm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（主体已列）；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临时措施：洒水降尘486m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、编织袋拦挡5m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、防</w:t>
      </w:r>
      <w:r>
        <w:rPr>
          <w:rFonts w:hint="eastAsia" w:ascii="Times New Roman" w:hAnsi="Times New Roman" w:eastAsia="仿宋_GB2312"/>
          <w:bCs/>
          <w:sz w:val="32"/>
          <w:szCs w:val="32"/>
          <w:lang w:val="en-US"/>
        </w:rPr>
        <w:t>尘网苫盖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9000m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vertAlign w:val="superscript"/>
          <w:lang w:val="en-US" w:eastAsia="zh-CN" w:bidi="zh-TW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（方案新增）；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GB" w:eastAsia="zh-CN" w:bidi="en-US"/>
        </w:rPr>
        <w:t>六、水土保持投资概算和效益分析</w:t>
      </w:r>
    </w:p>
    <w:p>
      <w:pPr>
        <w:pStyle w:val="31"/>
        <w:keepLines w:val="0"/>
        <w:pageBreakBefore w:val="0"/>
        <w:widowControl w:val="0"/>
        <w:kinsoku/>
        <w:wordWrap/>
        <w:overflowPunct/>
        <w:topLinePunct w:val="0"/>
        <w:bidi w:val="0"/>
        <w:spacing w:line="578" w:lineRule="exact"/>
        <w:ind w:firstLine="643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（一）投资估算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水土保持投资概（估）算编制依据、方法和成果。基本同意该工程水土保持概（估）算水土保持总投资282.23万元，其中主体工程已有水土保持措施投资为135.37万元，方案新增水土保持措施投资为146.86万元。工程措施投资135.37万元，临时措施投资112.85万元，独立费用25.79万元，水土保持补偿费0.00万元，基本预备费8.22万元。</w:t>
      </w:r>
    </w:p>
    <w:p>
      <w:pPr>
        <w:pStyle w:val="31"/>
        <w:keepLines w:val="0"/>
        <w:pageBreakBefore w:val="0"/>
        <w:widowControl w:val="0"/>
        <w:kinsoku/>
        <w:wordWrap/>
        <w:overflowPunct/>
        <w:topLinePunct w:val="0"/>
        <w:bidi w:val="0"/>
        <w:spacing w:line="578" w:lineRule="exact"/>
        <w:ind w:firstLine="643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（二）效益分析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水土保持效益分析。水土保持方案措施实施后，将极大地改善防治责任范围内的环境质量，使项目建设造成的水土流失得到有效控制，被破坏的地表得到恢复，有利于整个生态系统的平衡，减轻各种自然灾害可能造成的损失。</w:t>
      </w:r>
    </w:p>
    <w:p>
      <w:pPr>
        <w:pStyle w:val="31"/>
        <w:keepLines w:val="0"/>
        <w:pageBreakBefore w:val="0"/>
        <w:widowControl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、水土保持管理</w:t>
      </w:r>
    </w:p>
    <w:p>
      <w:pPr>
        <w:pStyle w:val="31"/>
        <w:keepLines w:val="0"/>
        <w:pageBreakBefore w:val="0"/>
        <w:widowControl w:val="0"/>
        <w:tabs>
          <w:tab w:val="left" w:pos="1622"/>
        </w:tabs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44"/>
          <w:highlight w:val="none"/>
          <w:lang w:val="en-US" w:eastAsia="zh-CN" w:bidi="zh-TW"/>
        </w:rPr>
        <w:t>基本同意水土保持方案从组织管理、招投标、水土保持工程监理、施工管理等各方面提出的方案实施保证措施。</w:t>
      </w:r>
    </w:p>
    <w:p>
      <w:pPr>
        <w:pStyle w:val="31"/>
        <w:keepLines w:val="0"/>
        <w:pageBreakBefore w:val="0"/>
        <w:widowControl w:val="0"/>
        <w:kinsoku/>
        <w:wordWrap/>
        <w:overflowPunct/>
        <w:topLinePunct w:val="0"/>
        <w:bidi w:val="0"/>
        <w:spacing w:line="578" w:lineRule="exact"/>
        <w:ind w:firstLine="640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本技术审查意见仅限于生产建设项目水土流失预防和治理范畴。因之发生的相关赔偿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补偿，由生产建设项目法人负责。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 w:eastAsia="zh-CN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highlight w:val="none"/>
          <w:lang w:val="en-GB" w:eastAsia="zh-CN"/>
        </w:rPr>
      </w:pPr>
    </w:p>
    <w:sectPr>
      <w:footerReference r:id="rId3" w:type="default"/>
      <w:pgSz w:w="11906" w:h="16838"/>
      <w:pgMar w:top="2007" w:right="1582" w:bottom="2007" w:left="1582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D64C7B-7AAE-4173-B825-230CC7C9A2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50D1B4-A5EF-4CCB-B24B-270E87055C6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329C2863-3AD3-42CE-84F0-F8A50C673C59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0EA831A4-7F8B-4B4F-BBE9-86511449FB7C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30E72A15-8585-4069-BD0C-A12A084AFEFB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6" w:fontKey="{1CCC43CD-13CD-46FE-9001-468930A82D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2647950</wp:posOffset>
              </wp:positionH>
              <wp:positionV relativeFrom="paragraph">
                <wp:posOffset>28575</wp:posOffset>
              </wp:positionV>
              <wp:extent cx="25400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Style w:val="16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5pt;margin-top:2.25pt;height:13.8pt;width:20pt;mso-position-horizontal-relative:margin;mso-wrap-style:none;z-index:251659264;mso-width-relative:page;mso-height-relative:page;" filled="f" stroked="f" coordsize="21600,21600" o:gfxdata="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AtPFfUAAAACAEAAA8AAAAAAAAAAQAgAAAAIgAAAGRycy9k&#10;b3ducmV2LnhtbFBLAQIUABQAAAAIAIdO4kDyTxPOzQEAAJc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Style w:val="16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MmIyYzViOGRjMjRiNWI3MTQxMTc1MWMzZjQyMjkifQ=="/>
  </w:docVars>
  <w:rsids>
    <w:rsidRoot w:val="004E4F3A"/>
    <w:rsid w:val="00020667"/>
    <w:rsid w:val="00035B37"/>
    <w:rsid w:val="00040E14"/>
    <w:rsid w:val="00053E41"/>
    <w:rsid w:val="00071E38"/>
    <w:rsid w:val="00077145"/>
    <w:rsid w:val="000849E5"/>
    <w:rsid w:val="00087459"/>
    <w:rsid w:val="00092533"/>
    <w:rsid w:val="000D4670"/>
    <w:rsid w:val="000E19D3"/>
    <w:rsid w:val="000F448E"/>
    <w:rsid w:val="00114E73"/>
    <w:rsid w:val="0012103B"/>
    <w:rsid w:val="00124302"/>
    <w:rsid w:val="001376C4"/>
    <w:rsid w:val="00146C7A"/>
    <w:rsid w:val="00161832"/>
    <w:rsid w:val="00163860"/>
    <w:rsid w:val="0016417A"/>
    <w:rsid w:val="0017016E"/>
    <w:rsid w:val="0017482F"/>
    <w:rsid w:val="00186646"/>
    <w:rsid w:val="001972FE"/>
    <w:rsid w:val="001A7DC7"/>
    <w:rsid w:val="001B3DA7"/>
    <w:rsid w:val="001B4CC1"/>
    <w:rsid w:val="001B537C"/>
    <w:rsid w:val="001C0C3C"/>
    <w:rsid w:val="001C7918"/>
    <w:rsid w:val="001F105E"/>
    <w:rsid w:val="001F4682"/>
    <w:rsid w:val="001F4F09"/>
    <w:rsid w:val="001F6451"/>
    <w:rsid w:val="00206056"/>
    <w:rsid w:val="00207284"/>
    <w:rsid w:val="0021000B"/>
    <w:rsid w:val="002135A1"/>
    <w:rsid w:val="002153BF"/>
    <w:rsid w:val="00215EE3"/>
    <w:rsid w:val="002238A3"/>
    <w:rsid w:val="00235829"/>
    <w:rsid w:val="002364B5"/>
    <w:rsid w:val="0024314A"/>
    <w:rsid w:val="002464C2"/>
    <w:rsid w:val="00267F61"/>
    <w:rsid w:val="002711A1"/>
    <w:rsid w:val="0028714C"/>
    <w:rsid w:val="002A46CE"/>
    <w:rsid w:val="002C6CFB"/>
    <w:rsid w:val="002D30A9"/>
    <w:rsid w:val="002D35EB"/>
    <w:rsid w:val="002E402A"/>
    <w:rsid w:val="002E58E1"/>
    <w:rsid w:val="00303340"/>
    <w:rsid w:val="00314881"/>
    <w:rsid w:val="00320A9B"/>
    <w:rsid w:val="00323FBB"/>
    <w:rsid w:val="0034500C"/>
    <w:rsid w:val="00347240"/>
    <w:rsid w:val="00350AC3"/>
    <w:rsid w:val="003748C5"/>
    <w:rsid w:val="00383B48"/>
    <w:rsid w:val="00383F2F"/>
    <w:rsid w:val="00390CBC"/>
    <w:rsid w:val="00394C7B"/>
    <w:rsid w:val="003A003E"/>
    <w:rsid w:val="003A1003"/>
    <w:rsid w:val="003A1CBC"/>
    <w:rsid w:val="003D6D07"/>
    <w:rsid w:val="003E4904"/>
    <w:rsid w:val="00442614"/>
    <w:rsid w:val="00445069"/>
    <w:rsid w:val="004462D7"/>
    <w:rsid w:val="00450284"/>
    <w:rsid w:val="0045453C"/>
    <w:rsid w:val="00457CF8"/>
    <w:rsid w:val="0046012C"/>
    <w:rsid w:val="00490041"/>
    <w:rsid w:val="00495806"/>
    <w:rsid w:val="004A22E4"/>
    <w:rsid w:val="004A7ACA"/>
    <w:rsid w:val="004B672B"/>
    <w:rsid w:val="004D227D"/>
    <w:rsid w:val="004D228E"/>
    <w:rsid w:val="004E4F3A"/>
    <w:rsid w:val="004E5FC4"/>
    <w:rsid w:val="005216F9"/>
    <w:rsid w:val="00530FFD"/>
    <w:rsid w:val="00547B30"/>
    <w:rsid w:val="0055318B"/>
    <w:rsid w:val="0056054E"/>
    <w:rsid w:val="00560CF2"/>
    <w:rsid w:val="00577508"/>
    <w:rsid w:val="00581355"/>
    <w:rsid w:val="00587DA9"/>
    <w:rsid w:val="005A087B"/>
    <w:rsid w:val="005B77B9"/>
    <w:rsid w:val="005C6A1B"/>
    <w:rsid w:val="005C74E9"/>
    <w:rsid w:val="005C7568"/>
    <w:rsid w:val="005D4844"/>
    <w:rsid w:val="005F2A63"/>
    <w:rsid w:val="005F4352"/>
    <w:rsid w:val="00600282"/>
    <w:rsid w:val="00607FBE"/>
    <w:rsid w:val="00613B2E"/>
    <w:rsid w:val="00617443"/>
    <w:rsid w:val="00643152"/>
    <w:rsid w:val="00663729"/>
    <w:rsid w:val="00673D56"/>
    <w:rsid w:val="00676091"/>
    <w:rsid w:val="006C6CB9"/>
    <w:rsid w:val="006D3829"/>
    <w:rsid w:val="006D56A5"/>
    <w:rsid w:val="006F0780"/>
    <w:rsid w:val="006F22CC"/>
    <w:rsid w:val="007115FC"/>
    <w:rsid w:val="00712FF6"/>
    <w:rsid w:val="007178CB"/>
    <w:rsid w:val="0072622D"/>
    <w:rsid w:val="00726453"/>
    <w:rsid w:val="007300B8"/>
    <w:rsid w:val="0074739B"/>
    <w:rsid w:val="00760221"/>
    <w:rsid w:val="00770D82"/>
    <w:rsid w:val="007733D8"/>
    <w:rsid w:val="00777D2F"/>
    <w:rsid w:val="00777F9A"/>
    <w:rsid w:val="00781A58"/>
    <w:rsid w:val="00785E86"/>
    <w:rsid w:val="007865E0"/>
    <w:rsid w:val="007909DF"/>
    <w:rsid w:val="007B254B"/>
    <w:rsid w:val="007C0A0A"/>
    <w:rsid w:val="007C4FF9"/>
    <w:rsid w:val="007D2AC1"/>
    <w:rsid w:val="007D5000"/>
    <w:rsid w:val="007E4BA9"/>
    <w:rsid w:val="007F3F95"/>
    <w:rsid w:val="00802569"/>
    <w:rsid w:val="00834C79"/>
    <w:rsid w:val="0084355F"/>
    <w:rsid w:val="008524F2"/>
    <w:rsid w:val="00855536"/>
    <w:rsid w:val="00855F09"/>
    <w:rsid w:val="00857C8F"/>
    <w:rsid w:val="008644AE"/>
    <w:rsid w:val="0088598E"/>
    <w:rsid w:val="008865A1"/>
    <w:rsid w:val="00887288"/>
    <w:rsid w:val="008A4FE7"/>
    <w:rsid w:val="008B4EE8"/>
    <w:rsid w:val="008C229B"/>
    <w:rsid w:val="008D24E1"/>
    <w:rsid w:val="008D760F"/>
    <w:rsid w:val="008D7A0D"/>
    <w:rsid w:val="008F2C31"/>
    <w:rsid w:val="008F6E4C"/>
    <w:rsid w:val="009041D6"/>
    <w:rsid w:val="00904C95"/>
    <w:rsid w:val="009066C3"/>
    <w:rsid w:val="00934B5C"/>
    <w:rsid w:val="00935F1A"/>
    <w:rsid w:val="009414B2"/>
    <w:rsid w:val="00943CE7"/>
    <w:rsid w:val="00955BE8"/>
    <w:rsid w:val="00961D81"/>
    <w:rsid w:val="00972817"/>
    <w:rsid w:val="009858B7"/>
    <w:rsid w:val="00992711"/>
    <w:rsid w:val="009927AF"/>
    <w:rsid w:val="009A072E"/>
    <w:rsid w:val="009A083F"/>
    <w:rsid w:val="009A1988"/>
    <w:rsid w:val="009A2D8F"/>
    <w:rsid w:val="009A4E61"/>
    <w:rsid w:val="009B2B87"/>
    <w:rsid w:val="009D0C2B"/>
    <w:rsid w:val="009E0A8D"/>
    <w:rsid w:val="009E5E08"/>
    <w:rsid w:val="009E6217"/>
    <w:rsid w:val="009F43A8"/>
    <w:rsid w:val="00A309F8"/>
    <w:rsid w:val="00A718EB"/>
    <w:rsid w:val="00A729FA"/>
    <w:rsid w:val="00A72A15"/>
    <w:rsid w:val="00A94333"/>
    <w:rsid w:val="00A95377"/>
    <w:rsid w:val="00A95D8C"/>
    <w:rsid w:val="00A964C0"/>
    <w:rsid w:val="00A9673B"/>
    <w:rsid w:val="00A96D54"/>
    <w:rsid w:val="00A977C5"/>
    <w:rsid w:val="00AB6C7C"/>
    <w:rsid w:val="00AC1371"/>
    <w:rsid w:val="00AC2DC2"/>
    <w:rsid w:val="00AD40D8"/>
    <w:rsid w:val="00AE3100"/>
    <w:rsid w:val="00AF0963"/>
    <w:rsid w:val="00B00E07"/>
    <w:rsid w:val="00B04E21"/>
    <w:rsid w:val="00B20F44"/>
    <w:rsid w:val="00B212BB"/>
    <w:rsid w:val="00B40085"/>
    <w:rsid w:val="00B428A8"/>
    <w:rsid w:val="00B63586"/>
    <w:rsid w:val="00B67D16"/>
    <w:rsid w:val="00B76166"/>
    <w:rsid w:val="00B811A9"/>
    <w:rsid w:val="00B8178B"/>
    <w:rsid w:val="00B929C4"/>
    <w:rsid w:val="00B9489F"/>
    <w:rsid w:val="00BB0C26"/>
    <w:rsid w:val="00BB49C7"/>
    <w:rsid w:val="00BC2200"/>
    <w:rsid w:val="00C10BBB"/>
    <w:rsid w:val="00C21B54"/>
    <w:rsid w:val="00C30630"/>
    <w:rsid w:val="00C4193E"/>
    <w:rsid w:val="00C44476"/>
    <w:rsid w:val="00C567AA"/>
    <w:rsid w:val="00C5712C"/>
    <w:rsid w:val="00C57E56"/>
    <w:rsid w:val="00C61662"/>
    <w:rsid w:val="00C63CCB"/>
    <w:rsid w:val="00C70820"/>
    <w:rsid w:val="00C710D5"/>
    <w:rsid w:val="00C933DC"/>
    <w:rsid w:val="00C95894"/>
    <w:rsid w:val="00C95FE6"/>
    <w:rsid w:val="00CB0832"/>
    <w:rsid w:val="00CD2C7A"/>
    <w:rsid w:val="00CF356E"/>
    <w:rsid w:val="00CF633C"/>
    <w:rsid w:val="00D50100"/>
    <w:rsid w:val="00D6018E"/>
    <w:rsid w:val="00D6048E"/>
    <w:rsid w:val="00D648EB"/>
    <w:rsid w:val="00D812EC"/>
    <w:rsid w:val="00D8363A"/>
    <w:rsid w:val="00D83970"/>
    <w:rsid w:val="00D9290B"/>
    <w:rsid w:val="00D9664B"/>
    <w:rsid w:val="00D9791C"/>
    <w:rsid w:val="00DA5FCA"/>
    <w:rsid w:val="00DB1AE4"/>
    <w:rsid w:val="00DB750C"/>
    <w:rsid w:val="00DC007C"/>
    <w:rsid w:val="00DC061C"/>
    <w:rsid w:val="00DD5C49"/>
    <w:rsid w:val="00DD5C51"/>
    <w:rsid w:val="00DE0D31"/>
    <w:rsid w:val="00DE4347"/>
    <w:rsid w:val="00E00342"/>
    <w:rsid w:val="00E0332F"/>
    <w:rsid w:val="00E04A0B"/>
    <w:rsid w:val="00E0693A"/>
    <w:rsid w:val="00E11412"/>
    <w:rsid w:val="00E1475A"/>
    <w:rsid w:val="00E15B81"/>
    <w:rsid w:val="00E2365E"/>
    <w:rsid w:val="00E24EF4"/>
    <w:rsid w:val="00E30772"/>
    <w:rsid w:val="00E3126C"/>
    <w:rsid w:val="00E35F53"/>
    <w:rsid w:val="00E37338"/>
    <w:rsid w:val="00E40679"/>
    <w:rsid w:val="00E432EF"/>
    <w:rsid w:val="00E50E59"/>
    <w:rsid w:val="00E61EA7"/>
    <w:rsid w:val="00E7299A"/>
    <w:rsid w:val="00E73FE0"/>
    <w:rsid w:val="00E7592E"/>
    <w:rsid w:val="00E776F6"/>
    <w:rsid w:val="00E8152D"/>
    <w:rsid w:val="00E83BC0"/>
    <w:rsid w:val="00E91525"/>
    <w:rsid w:val="00E9266E"/>
    <w:rsid w:val="00E939DC"/>
    <w:rsid w:val="00EA29D5"/>
    <w:rsid w:val="00EB7391"/>
    <w:rsid w:val="00EC75E6"/>
    <w:rsid w:val="00ED1315"/>
    <w:rsid w:val="00ED66BB"/>
    <w:rsid w:val="00EE6F64"/>
    <w:rsid w:val="00EF0B8D"/>
    <w:rsid w:val="00EF771D"/>
    <w:rsid w:val="00F15117"/>
    <w:rsid w:val="00F357DF"/>
    <w:rsid w:val="00F40D9F"/>
    <w:rsid w:val="00F44011"/>
    <w:rsid w:val="00F47F79"/>
    <w:rsid w:val="00F72712"/>
    <w:rsid w:val="00F73711"/>
    <w:rsid w:val="00F93865"/>
    <w:rsid w:val="00F9772B"/>
    <w:rsid w:val="00FA4DE8"/>
    <w:rsid w:val="00FB04D1"/>
    <w:rsid w:val="00FB5DB2"/>
    <w:rsid w:val="00FB6662"/>
    <w:rsid w:val="00FC340A"/>
    <w:rsid w:val="00FE2FD3"/>
    <w:rsid w:val="00FF5A01"/>
    <w:rsid w:val="02234FEC"/>
    <w:rsid w:val="02A602E6"/>
    <w:rsid w:val="02F54FC6"/>
    <w:rsid w:val="0308279B"/>
    <w:rsid w:val="03394F93"/>
    <w:rsid w:val="049774B8"/>
    <w:rsid w:val="058E35AC"/>
    <w:rsid w:val="06DB1352"/>
    <w:rsid w:val="084A7B62"/>
    <w:rsid w:val="093A65B1"/>
    <w:rsid w:val="096A74BD"/>
    <w:rsid w:val="097C4A9B"/>
    <w:rsid w:val="0A441AE8"/>
    <w:rsid w:val="0A550955"/>
    <w:rsid w:val="0B0C516A"/>
    <w:rsid w:val="0B2009CF"/>
    <w:rsid w:val="0B2C245B"/>
    <w:rsid w:val="0BA86B13"/>
    <w:rsid w:val="0C0E2FD9"/>
    <w:rsid w:val="0C672831"/>
    <w:rsid w:val="0C844E03"/>
    <w:rsid w:val="0CA93CAC"/>
    <w:rsid w:val="0CF4155A"/>
    <w:rsid w:val="0DDA3052"/>
    <w:rsid w:val="0E19425F"/>
    <w:rsid w:val="0FF54858"/>
    <w:rsid w:val="100D77FC"/>
    <w:rsid w:val="109D0F66"/>
    <w:rsid w:val="10AF7E09"/>
    <w:rsid w:val="11955682"/>
    <w:rsid w:val="11AB188E"/>
    <w:rsid w:val="12AB744F"/>
    <w:rsid w:val="12FC327F"/>
    <w:rsid w:val="13EB1DBD"/>
    <w:rsid w:val="13FF2883"/>
    <w:rsid w:val="145F62FF"/>
    <w:rsid w:val="14E013D0"/>
    <w:rsid w:val="1571763A"/>
    <w:rsid w:val="16D45B8F"/>
    <w:rsid w:val="18422CDC"/>
    <w:rsid w:val="18B346FA"/>
    <w:rsid w:val="18BA03EC"/>
    <w:rsid w:val="197907DA"/>
    <w:rsid w:val="19AE21AC"/>
    <w:rsid w:val="19BA7045"/>
    <w:rsid w:val="1A842B9E"/>
    <w:rsid w:val="1A98332F"/>
    <w:rsid w:val="1AB062D8"/>
    <w:rsid w:val="1ADD5EA3"/>
    <w:rsid w:val="1AFC2ED4"/>
    <w:rsid w:val="1B1B3347"/>
    <w:rsid w:val="1BFF49FF"/>
    <w:rsid w:val="1C116AAC"/>
    <w:rsid w:val="1C1A5853"/>
    <w:rsid w:val="1C4F3541"/>
    <w:rsid w:val="1C755B78"/>
    <w:rsid w:val="1C8D76F3"/>
    <w:rsid w:val="1D284372"/>
    <w:rsid w:val="1EE97C47"/>
    <w:rsid w:val="20DB10BA"/>
    <w:rsid w:val="20E83314"/>
    <w:rsid w:val="218D7E9A"/>
    <w:rsid w:val="219D1AF8"/>
    <w:rsid w:val="22290657"/>
    <w:rsid w:val="222F54A5"/>
    <w:rsid w:val="223022E9"/>
    <w:rsid w:val="22B773F7"/>
    <w:rsid w:val="22F30237"/>
    <w:rsid w:val="243B7E8B"/>
    <w:rsid w:val="252B610A"/>
    <w:rsid w:val="255B46D8"/>
    <w:rsid w:val="269674DE"/>
    <w:rsid w:val="2903193C"/>
    <w:rsid w:val="29955CC7"/>
    <w:rsid w:val="2AC05D36"/>
    <w:rsid w:val="2B086B63"/>
    <w:rsid w:val="2D3834B0"/>
    <w:rsid w:val="2D483DC1"/>
    <w:rsid w:val="2D935987"/>
    <w:rsid w:val="2D9E5378"/>
    <w:rsid w:val="2DBC3D0D"/>
    <w:rsid w:val="2E13617D"/>
    <w:rsid w:val="2F4026F8"/>
    <w:rsid w:val="316A7E21"/>
    <w:rsid w:val="31B37D2D"/>
    <w:rsid w:val="31DD6FC4"/>
    <w:rsid w:val="324B2992"/>
    <w:rsid w:val="32D1646E"/>
    <w:rsid w:val="332D3861"/>
    <w:rsid w:val="334957F8"/>
    <w:rsid w:val="33535F0F"/>
    <w:rsid w:val="34DE717A"/>
    <w:rsid w:val="3605272D"/>
    <w:rsid w:val="36081001"/>
    <w:rsid w:val="36B254FC"/>
    <w:rsid w:val="36FA57A2"/>
    <w:rsid w:val="37556995"/>
    <w:rsid w:val="388D1185"/>
    <w:rsid w:val="392748D4"/>
    <w:rsid w:val="3A1219DE"/>
    <w:rsid w:val="3A8907E1"/>
    <w:rsid w:val="3AEB1E00"/>
    <w:rsid w:val="3B385475"/>
    <w:rsid w:val="3B8B1B40"/>
    <w:rsid w:val="3CAB079C"/>
    <w:rsid w:val="3D325373"/>
    <w:rsid w:val="3DCA206F"/>
    <w:rsid w:val="3DE62323"/>
    <w:rsid w:val="3E043D34"/>
    <w:rsid w:val="3EC5597B"/>
    <w:rsid w:val="3FB57611"/>
    <w:rsid w:val="3FEF1D74"/>
    <w:rsid w:val="407B6536"/>
    <w:rsid w:val="40FA572A"/>
    <w:rsid w:val="412B3CFA"/>
    <w:rsid w:val="41981E40"/>
    <w:rsid w:val="41C815FA"/>
    <w:rsid w:val="41E41EB2"/>
    <w:rsid w:val="43FC603B"/>
    <w:rsid w:val="443A4E80"/>
    <w:rsid w:val="45F33C53"/>
    <w:rsid w:val="46253E09"/>
    <w:rsid w:val="46853ACF"/>
    <w:rsid w:val="47330AF6"/>
    <w:rsid w:val="47F15951"/>
    <w:rsid w:val="48355EBB"/>
    <w:rsid w:val="48B956E0"/>
    <w:rsid w:val="48CB4DF9"/>
    <w:rsid w:val="49D34738"/>
    <w:rsid w:val="4A35236B"/>
    <w:rsid w:val="4B713122"/>
    <w:rsid w:val="4BAA6225"/>
    <w:rsid w:val="4BAE0BB6"/>
    <w:rsid w:val="4C15185F"/>
    <w:rsid w:val="4CFB1E03"/>
    <w:rsid w:val="4D605A9D"/>
    <w:rsid w:val="4E481A1B"/>
    <w:rsid w:val="4EE747BC"/>
    <w:rsid w:val="4EF1548F"/>
    <w:rsid w:val="4F1F7B81"/>
    <w:rsid w:val="4F631F04"/>
    <w:rsid w:val="50105FA3"/>
    <w:rsid w:val="50227EF1"/>
    <w:rsid w:val="51280767"/>
    <w:rsid w:val="517B5C63"/>
    <w:rsid w:val="51E4236F"/>
    <w:rsid w:val="546329F7"/>
    <w:rsid w:val="54807320"/>
    <w:rsid w:val="54A632A9"/>
    <w:rsid w:val="54E020A3"/>
    <w:rsid w:val="54E05D06"/>
    <w:rsid w:val="557856C0"/>
    <w:rsid w:val="560662B2"/>
    <w:rsid w:val="56673DAD"/>
    <w:rsid w:val="57DE0E9C"/>
    <w:rsid w:val="58A87664"/>
    <w:rsid w:val="596A64EB"/>
    <w:rsid w:val="59C8345A"/>
    <w:rsid w:val="59DF6902"/>
    <w:rsid w:val="5A7C700A"/>
    <w:rsid w:val="5A8607B1"/>
    <w:rsid w:val="5A8E75D7"/>
    <w:rsid w:val="5A904750"/>
    <w:rsid w:val="5AD754DD"/>
    <w:rsid w:val="5AEB5C08"/>
    <w:rsid w:val="5AF80325"/>
    <w:rsid w:val="5BB00D7C"/>
    <w:rsid w:val="5BB2427F"/>
    <w:rsid w:val="5BED21B4"/>
    <w:rsid w:val="5DC430AE"/>
    <w:rsid w:val="5F0E3337"/>
    <w:rsid w:val="5F11127C"/>
    <w:rsid w:val="5F8C47F7"/>
    <w:rsid w:val="603E627F"/>
    <w:rsid w:val="61351088"/>
    <w:rsid w:val="622827C8"/>
    <w:rsid w:val="62972EA7"/>
    <w:rsid w:val="63A6340B"/>
    <w:rsid w:val="63CE0D4C"/>
    <w:rsid w:val="64293E7C"/>
    <w:rsid w:val="64D77000"/>
    <w:rsid w:val="64F35B5D"/>
    <w:rsid w:val="651A359A"/>
    <w:rsid w:val="670A2358"/>
    <w:rsid w:val="67764A0E"/>
    <w:rsid w:val="67D30A5C"/>
    <w:rsid w:val="67FA56DC"/>
    <w:rsid w:val="68141F4D"/>
    <w:rsid w:val="688F59D6"/>
    <w:rsid w:val="69520C2E"/>
    <w:rsid w:val="69B1626F"/>
    <w:rsid w:val="6A0C1B0B"/>
    <w:rsid w:val="6AC426DC"/>
    <w:rsid w:val="6D916E4E"/>
    <w:rsid w:val="6D9B526C"/>
    <w:rsid w:val="6DBD1686"/>
    <w:rsid w:val="6E6F683C"/>
    <w:rsid w:val="6ED36561"/>
    <w:rsid w:val="6F273FB8"/>
    <w:rsid w:val="6F374CBA"/>
    <w:rsid w:val="6FAB572D"/>
    <w:rsid w:val="70B35C0A"/>
    <w:rsid w:val="710F12F5"/>
    <w:rsid w:val="71F862F2"/>
    <w:rsid w:val="73125292"/>
    <w:rsid w:val="732551F6"/>
    <w:rsid w:val="745C5273"/>
    <w:rsid w:val="7468238A"/>
    <w:rsid w:val="7571517F"/>
    <w:rsid w:val="75974FFA"/>
    <w:rsid w:val="75FC197E"/>
    <w:rsid w:val="762B73A9"/>
    <w:rsid w:val="766C513D"/>
    <w:rsid w:val="771D70B2"/>
    <w:rsid w:val="78C7160B"/>
    <w:rsid w:val="793A002E"/>
    <w:rsid w:val="7A0423EA"/>
    <w:rsid w:val="7B0F1047"/>
    <w:rsid w:val="7BCB462B"/>
    <w:rsid w:val="7E6F06B8"/>
    <w:rsid w:val="7EC6610C"/>
    <w:rsid w:val="7FC960AB"/>
    <w:rsid w:val="7FEB0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customStyle="1" w:styleId="3">
    <w:name w:val="默认段落"/>
    <w:basedOn w:val="1"/>
    <w:qFormat/>
    <w:uiPriority w:val="0"/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Body Text 2"/>
    <w:basedOn w:val="1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styleId="12">
    <w:name w:val="Normal (Web)"/>
    <w:basedOn w:val="1"/>
    <w:next w:val="1"/>
    <w:qFormat/>
    <w:uiPriority w:val="99"/>
    <w:rPr>
      <w:rFonts w:hint="eastAsia" w:cs="Times New Roman"/>
      <w:szCs w:val="20"/>
    </w:rPr>
  </w:style>
  <w:style w:type="paragraph" w:styleId="13">
    <w:name w:val="Title"/>
    <w:basedOn w:val="1"/>
    <w:qFormat/>
    <w:uiPriority w:val="1"/>
    <w:pPr>
      <w:autoSpaceDE w:val="0"/>
      <w:autoSpaceDN w:val="0"/>
      <w:spacing w:before="45"/>
      <w:ind w:left="620" w:right="366" w:hanging="384"/>
      <w:jc w:val="left"/>
    </w:pPr>
    <w:rPr>
      <w:rFonts w:ascii="宋体" w:hAnsi="宋体" w:cs="宋体"/>
      <w:b/>
      <w:bCs/>
      <w:kern w:val="0"/>
      <w:sz w:val="40"/>
      <w:szCs w:val="40"/>
      <w:lang w:eastAsia="en-US"/>
    </w:rPr>
  </w:style>
  <w:style w:type="character" w:styleId="16">
    <w:name w:val="page number"/>
    <w:qFormat/>
    <w:uiPriority w:val="0"/>
  </w:style>
  <w:style w:type="paragraph" w:customStyle="1" w:styleId="17">
    <w:name w:val="1"/>
    <w:basedOn w:val="10"/>
    <w:next w:val="11"/>
    <w:qFormat/>
    <w:uiPriority w:val="0"/>
    <w:pPr>
      <w:spacing w:line="300" w:lineRule="auto"/>
      <w:jc w:val="center"/>
    </w:pPr>
    <w:rPr>
      <w:rFonts w:ascii="宋体" w:hAnsi="宋体"/>
      <w:spacing w:val="-20"/>
    </w:rPr>
  </w:style>
  <w:style w:type="character" w:customStyle="1" w:styleId="18">
    <w:name w:val="标题 1 字符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0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1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2">
    <w:name w:val="正    文 Char"/>
    <w:link w:val="23"/>
    <w:qFormat/>
    <w:uiPriority w:val="0"/>
    <w:rPr>
      <w:rFonts w:ascii="仿宋_GB2312" w:hAnsi="宋体" w:eastAsia="仿宋_GB2312"/>
      <w:kern w:val="2"/>
      <w:sz w:val="28"/>
      <w:szCs w:val="28"/>
    </w:rPr>
  </w:style>
  <w:style w:type="paragraph" w:customStyle="1" w:styleId="23">
    <w:name w:val="正    文"/>
    <w:basedOn w:val="1"/>
    <w:link w:val="22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hAnsi="宋体" w:eastAsia="仿宋_GB2312"/>
      <w:sz w:val="28"/>
      <w:szCs w:val="28"/>
    </w:rPr>
  </w:style>
  <w:style w:type="character" w:customStyle="1" w:styleId="24">
    <w:name w:val="样式 四号"/>
    <w:qFormat/>
    <w:uiPriority w:val="0"/>
    <w:rPr>
      <w:rFonts w:ascii="Times New Roman" w:hAnsi="Times New Roman" w:eastAsia="仿宋_GB2312"/>
      <w:sz w:val="24"/>
      <w:szCs w:val="24"/>
    </w:rPr>
  </w:style>
  <w:style w:type="paragraph" w:customStyle="1" w:styleId="25">
    <w:name w:val="正文2"/>
    <w:basedOn w:val="1"/>
    <w:qFormat/>
    <w:uiPriority w:val="0"/>
    <w:pPr>
      <w:spacing w:line="480" w:lineRule="exact"/>
      <w:ind w:firstLine="200" w:firstLineChars="200"/>
    </w:pPr>
    <w:rPr>
      <w:kern w:val="0"/>
      <w:sz w:val="24"/>
      <w:szCs w:val="24"/>
    </w:rPr>
  </w:style>
  <w:style w:type="paragraph" w:customStyle="1" w:styleId="26">
    <w:name w:val=" Char"/>
    <w:basedOn w:val="1"/>
    <w:qFormat/>
    <w:uiPriority w:val="0"/>
    <w:rPr>
      <w:rFonts w:ascii="宋体"/>
      <w:sz w:val="28"/>
      <w:szCs w:val="28"/>
    </w:rPr>
  </w:style>
  <w:style w:type="paragraph" w:customStyle="1" w:styleId="27">
    <w:name w:val="艾艾正文"/>
    <w:basedOn w:val="1"/>
    <w:qFormat/>
    <w:uiPriority w:val="0"/>
    <w:pPr>
      <w:spacing w:after="200" w:line="500" w:lineRule="exact"/>
      <w:ind w:firstLine="480" w:firstLineChars="200"/>
    </w:pPr>
    <w:rPr>
      <w:kern w:val="0"/>
      <w:sz w:val="24"/>
      <w:szCs w:val="20"/>
    </w:rPr>
  </w:style>
  <w:style w:type="paragraph" w:customStyle="1" w:styleId="28">
    <w:name w:val="样式5"/>
    <w:basedOn w:val="9"/>
    <w:qFormat/>
    <w:uiPriority w:val="0"/>
    <w:pPr>
      <w:pBdr>
        <w:bottom w:val="none" w:color="auto" w:sz="0" w:space="0"/>
      </w:pBdr>
      <w:tabs>
        <w:tab w:val="clear" w:pos="4153"/>
        <w:tab w:val="clear" w:pos="8306"/>
      </w:tabs>
      <w:adjustRightInd w:val="0"/>
      <w:snapToGrid/>
      <w:spacing w:line="440" w:lineRule="exact"/>
    </w:pPr>
    <w:rPr>
      <w:rFonts w:ascii="宋体" w:hAnsi="宋体"/>
      <w:color w:val="000000"/>
      <w:sz w:val="21"/>
      <w:szCs w:val="21"/>
      <w:u w:val="single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报告书正文"/>
    <w:basedOn w:val="1"/>
    <w:qFormat/>
    <w:uiPriority w:val="0"/>
    <w:pPr>
      <w:tabs>
        <w:tab w:val="right" w:leader="middleDot" w:pos="9660"/>
      </w:tabs>
      <w:adjustRightInd w:val="0"/>
      <w:snapToGrid w:val="0"/>
      <w:spacing w:after="200" w:line="360" w:lineRule="auto"/>
      <w:ind w:firstLine="482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1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2">
    <w:name w:val="Heading #1|1"/>
    <w:basedOn w:val="1"/>
    <w:qFormat/>
    <w:uiPriority w:val="0"/>
    <w:pPr>
      <w:spacing w:after="450" w:line="506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33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3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hps</Company>
  <Pages>9</Pages>
  <Words>2900</Words>
  <Characters>3128</Characters>
  <Lines>40</Lines>
  <Paragraphs>11</Paragraphs>
  <TotalTime>2</TotalTime>
  <ScaleCrop>false</ScaleCrop>
  <LinksUpToDate>false</LinksUpToDate>
  <CharactersWithSpaces>3195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2020-07-23T09:18:00Z</dcterms:created>
  <dc:creator>mengdongmei</dc:creator>
  <cp:lastModifiedBy>Administrator</cp:lastModifiedBy>
  <cp:lastPrinted>2023-02-16T09:59:00Z</cp:lastPrinted>
  <dcterms:modified xsi:type="dcterms:W3CDTF">2023-02-20T10:50:36Z</dcterms:modified>
  <dc:title>关于委托河岔口-温泉边防公路工程水土保持方案编制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1E1E80F652C9485FBECD79EF45A3ED50</vt:lpwstr>
  </property>
  <property fmtid="{D5CDD505-2E9C-101B-9397-08002B2CF9AE}" pid="4" name="commondata">
    <vt:lpwstr>eyJoZGlkIjoiYjg3ZWMwYmUyYzExZTk0MTllZGVmYjY4MWNjOGQwY2MifQ==</vt:lpwstr>
  </property>
</Properties>
</file>